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1A1B8DD" w14:textId="4CC27B86" w:rsidR="00820E82" w:rsidRDefault="00820E82">
      <w:r>
        <w:rPr>
          <w:rFonts w:cs="Tahoma"/>
          <w:b/>
        </w:rPr>
        <w:t>Statis</w:t>
      </w:r>
      <w:r w:rsidR="00001BC8">
        <w:rPr>
          <w:rFonts w:cs="Tahoma"/>
          <w:b/>
        </w:rPr>
        <w:t>tical Report Writing Sample No.</w:t>
      </w:r>
      <w:r w:rsidR="003D66ED">
        <w:rPr>
          <w:rFonts w:cs="Tahoma"/>
          <w:b/>
        </w:rPr>
        <w:t>3</w:t>
      </w:r>
      <w:r>
        <w:rPr>
          <w:rFonts w:cs="Tahoma"/>
          <w:b/>
        </w:rPr>
        <w:t>.</w:t>
      </w:r>
    </w:p>
    <w:p w14:paraId="743DD033" w14:textId="77777777" w:rsidR="00820E82" w:rsidRDefault="00820E82"/>
    <w:p w14:paraId="0269242D" w14:textId="77777777" w:rsidR="000F2DFB" w:rsidRDefault="00820E82" w:rsidP="00124905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ja-JP" w:bidi="ar-SA"/>
        </w:rPr>
      </w:pPr>
      <w:r>
        <w:rPr>
          <w:rFonts w:cs="Tahoma"/>
          <w:b/>
        </w:rPr>
        <w:t>Introduction.</w:t>
      </w:r>
      <w:r>
        <w:rPr>
          <w:rFonts w:cs="Tahoma"/>
        </w:rPr>
        <w:t xml:space="preserve"> </w:t>
      </w:r>
      <w:r w:rsidR="00124905" w:rsidRPr="00124905">
        <w:rPr>
          <w:rFonts w:eastAsia="Times New Roman" w:cs="Times New Roman"/>
          <w:kern w:val="0"/>
          <w:lang w:eastAsia="ja-JP" w:bidi="ar-SA"/>
        </w:rPr>
        <w:t>The food intake by Danish people</w:t>
      </w:r>
      <w:r w:rsidR="00124905">
        <w:rPr>
          <w:rFonts w:eastAsia="Lucida Sans Unicode" w:cs="Times New Roman"/>
        </w:rPr>
        <w:t xml:space="preserve"> </w:t>
      </w:r>
      <w:r w:rsidR="00124905" w:rsidRPr="00124905">
        <w:rPr>
          <w:rFonts w:eastAsia="Times New Roman" w:cs="Times New Roman"/>
          <w:kern w:val="0"/>
          <w:lang w:eastAsia="ja-JP" w:bidi="ar-SA"/>
        </w:rPr>
        <w:t xml:space="preserve">was studied in a comprehensive survey by </w:t>
      </w:r>
      <w:proofErr w:type="spellStart"/>
      <w:r w:rsidR="00124905" w:rsidRPr="00124905">
        <w:rPr>
          <w:rFonts w:eastAsia="Times New Roman" w:cs="Times New Roman"/>
          <w:kern w:val="0"/>
          <w:lang w:eastAsia="ja-JP" w:bidi="ar-SA"/>
        </w:rPr>
        <w:t>Haraldsdottir</w:t>
      </w:r>
      <w:proofErr w:type="spellEnd"/>
      <w:r w:rsidR="00124905" w:rsidRPr="00124905">
        <w:rPr>
          <w:rFonts w:eastAsia="Times New Roman" w:cs="Times New Roman"/>
          <w:kern w:val="0"/>
          <w:lang w:eastAsia="ja-JP" w:bidi="ar-SA"/>
        </w:rPr>
        <w:t xml:space="preserve"> et al. (1985), including</w:t>
      </w:r>
      <w:r w:rsidR="00124905">
        <w:rPr>
          <w:rFonts w:eastAsia="Lucida Sans Unicode" w:cs="Times New Roman"/>
        </w:rPr>
        <w:t xml:space="preserve"> </w:t>
      </w:r>
      <w:r w:rsidR="00124905" w:rsidRPr="00124905">
        <w:rPr>
          <w:rFonts w:eastAsia="Times New Roman" w:cs="Times New Roman"/>
          <w:kern w:val="0"/>
          <w:lang w:eastAsia="ja-JP" w:bidi="ar-SA"/>
        </w:rPr>
        <w:t>data from 2224 persons.</w:t>
      </w:r>
      <w:r w:rsidR="00124905">
        <w:rPr>
          <w:rFonts w:eastAsia="Lucida Sans Unicode" w:cs="Times New Roman"/>
        </w:rPr>
        <w:t xml:space="preserve"> </w:t>
      </w:r>
      <w:r w:rsidR="00124905">
        <w:rPr>
          <w:rFonts w:eastAsia="Times New Roman" w:cs="Times New Roman"/>
          <w:kern w:val="0"/>
          <w:lang w:eastAsia="ja-JP" w:bidi="ar-SA"/>
        </w:rPr>
        <w:t xml:space="preserve">Many </w:t>
      </w:r>
      <w:r w:rsidR="00124905" w:rsidRPr="00124905">
        <w:rPr>
          <w:rFonts w:eastAsia="Times New Roman" w:cs="Times New Roman"/>
          <w:kern w:val="0"/>
          <w:lang w:eastAsia="ja-JP" w:bidi="ar-SA"/>
        </w:rPr>
        <w:t>varia</w:t>
      </w:r>
      <w:r w:rsidR="00124905">
        <w:rPr>
          <w:rFonts w:eastAsia="Times New Roman" w:cs="Times New Roman"/>
          <w:kern w:val="0"/>
          <w:lang w:eastAsia="ja-JP" w:bidi="ar-SA"/>
        </w:rPr>
        <w:t>bles were registered in this</w:t>
      </w:r>
      <w:r w:rsidR="005E0B87">
        <w:rPr>
          <w:rFonts w:eastAsia="Times New Roman" w:cs="Times New Roman"/>
          <w:kern w:val="0"/>
          <w:lang w:eastAsia="ja-JP" w:bidi="ar-SA"/>
        </w:rPr>
        <w:t xml:space="preserve"> study. The summary statistics</w:t>
      </w:r>
      <w:r w:rsidR="00124905" w:rsidRPr="00124905">
        <w:rPr>
          <w:rFonts w:eastAsia="Times New Roman" w:cs="Times New Roman"/>
          <w:kern w:val="0"/>
          <w:lang w:eastAsia="ja-JP" w:bidi="ar-SA"/>
        </w:rPr>
        <w:t xml:space="preserve"> of</w:t>
      </w:r>
      <w:r w:rsidR="00124905">
        <w:rPr>
          <w:rFonts w:eastAsia="Lucida Sans Unicode" w:cs="Times New Roman"/>
        </w:rPr>
        <w:t xml:space="preserve"> </w:t>
      </w:r>
      <w:r w:rsidR="00124905" w:rsidRPr="00124905">
        <w:rPr>
          <w:rFonts w:eastAsia="Times New Roman" w:cs="Times New Roman"/>
          <w:kern w:val="0"/>
          <w:lang w:eastAsia="ja-JP" w:bidi="ar-SA"/>
        </w:rPr>
        <w:t>a variable called BMR, related to the basal metabolic rate, are shown</w:t>
      </w:r>
      <w:r w:rsidR="00124905">
        <w:rPr>
          <w:rFonts w:eastAsia="Times New Roman" w:cs="Times New Roman"/>
          <w:kern w:val="0"/>
          <w:lang w:eastAsia="ja-JP" w:bidi="ar-SA"/>
        </w:rPr>
        <w:t xml:space="preserve"> below.</w:t>
      </w:r>
      <w:r w:rsidR="00284A46">
        <w:rPr>
          <w:rFonts w:eastAsia="Times New Roman" w:cs="Times New Roman"/>
          <w:kern w:val="0"/>
          <w:lang w:eastAsia="ja-JP" w:bidi="ar-SA"/>
        </w:rPr>
        <w:t xml:space="preserve"> Note that the mean BMR</w:t>
      </w:r>
      <w:r w:rsidR="00124905" w:rsidRPr="00124905">
        <w:rPr>
          <w:rFonts w:eastAsia="Times New Roman" w:cs="Times New Roman"/>
          <w:kern w:val="0"/>
          <w:lang w:eastAsia="ja-JP" w:bidi="ar-SA"/>
        </w:rPr>
        <w:t xml:space="preserve"> are different,</w:t>
      </w:r>
      <w:r w:rsidR="00284A46">
        <w:rPr>
          <w:rFonts w:eastAsia="Times New Roman" w:cs="Times New Roman"/>
          <w:kern w:val="0"/>
          <w:lang w:eastAsia="ja-JP" w:bidi="ar-SA"/>
        </w:rPr>
        <w:t xml:space="preserve"> </w:t>
      </w:r>
      <w:r w:rsidR="000F2DFB">
        <w:rPr>
          <w:rFonts w:eastAsia="Times New Roman" w:cs="Times New Roman"/>
          <w:kern w:val="0"/>
          <w:lang w:eastAsia="ja-JP" w:bidi="ar-SA"/>
        </w:rPr>
        <w:t>around 7.4 and 5.7, respectively.</w:t>
      </w:r>
    </w:p>
    <w:p w14:paraId="169D7857" w14:textId="77777777" w:rsidR="000F2DFB" w:rsidRDefault="000F2DFB" w:rsidP="00124905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ja-JP" w:bidi="ar-SA"/>
        </w:rPr>
      </w:pPr>
    </w:p>
    <w:tbl>
      <w:tblPr>
        <w:tblW w:w="9120" w:type="dxa"/>
        <w:tblInd w:w="108" w:type="dxa"/>
        <w:tblLook w:val="04A0" w:firstRow="1" w:lastRow="0" w:firstColumn="1" w:lastColumn="0" w:noHBand="0" w:noVBand="1"/>
      </w:tblPr>
      <w:tblGrid>
        <w:gridCol w:w="960"/>
        <w:gridCol w:w="1360"/>
        <w:gridCol w:w="1360"/>
        <w:gridCol w:w="1360"/>
        <w:gridCol w:w="1360"/>
        <w:gridCol w:w="1360"/>
        <w:gridCol w:w="1360"/>
      </w:tblGrid>
      <w:tr w:rsidR="00877937" w:rsidRPr="00877937" w14:paraId="0A383BD4" w14:textId="77777777" w:rsidTr="00877937">
        <w:trPr>
          <w:trHeight w:val="315"/>
        </w:trPr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E589B" w14:textId="77777777" w:rsidR="00877937" w:rsidRPr="00877937" w:rsidRDefault="00877937" w:rsidP="0087793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87793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ja-JP" w:bidi="ar-SA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A093A" w14:textId="77777777" w:rsidR="00877937" w:rsidRPr="00877937" w:rsidRDefault="00877937" w:rsidP="0087793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87793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ja-JP" w:bidi="ar-SA"/>
              </w:rPr>
              <w:t>Size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0C485" w14:textId="77777777" w:rsidR="00877937" w:rsidRPr="00877937" w:rsidRDefault="00877937" w:rsidP="0087793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87793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ja-JP" w:bidi="ar-SA"/>
              </w:rPr>
              <w:t>Mean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002F9" w14:textId="77777777" w:rsidR="00877937" w:rsidRPr="00877937" w:rsidRDefault="00877937" w:rsidP="0087793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87793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ja-JP" w:bidi="ar-SA"/>
              </w:rPr>
              <w:t>SD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EF070" w14:textId="77777777" w:rsidR="00877937" w:rsidRPr="00877937" w:rsidRDefault="00877937" w:rsidP="0087793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87793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ja-JP" w:bidi="ar-SA"/>
              </w:rPr>
              <w:t>1st Quartile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AB467" w14:textId="77777777" w:rsidR="00877937" w:rsidRPr="00877937" w:rsidRDefault="00877937" w:rsidP="0087793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87793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ja-JP" w:bidi="ar-SA"/>
              </w:rPr>
              <w:t>Median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7CAB5" w14:textId="77777777" w:rsidR="00877937" w:rsidRPr="00877937" w:rsidRDefault="00877937" w:rsidP="0087793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87793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ja-JP" w:bidi="ar-SA"/>
              </w:rPr>
              <w:t>3rd Quartile</w:t>
            </w:r>
          </w:p>
        </w:tc>
      </w:tr>
      <w:tr w:rsidR="00877937" w:rsidRPr="00877937" w14:paraId="4EC004BD" w14:textId="77777777" w:rsidTr="0087793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DEBA" w14:textId="77777777" w:rsidR="00877937" w:rsidRPr="00877937" w:rsidRDefault="00877937" w:rsidP="0087793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87793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ja-JP" w:bidi="ar-SA"/>
              </w:rPr>
              <w:t>Men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4D94" w14:textId="77777777" w:rsidR="00877937" w:rsidRPr="004F66E6" w:rsidRDefault="00877937" w:rsidP="00877937">
            <w:pPr>
              <w:widowControl/>
              <w:suppressAutoHyphens w:val="0"/>
              <w:jc w:val="right"/>
              <w:rPr>
                <w:rFonts w:ascii="Lucida Console" w:eastAsia="Times New Roman" w:hAnsi="Lucida Console" w:cs="Calibri"/>
                <w:color w:val="000000"/>
                <w:kern w:val="0"/>
                <w:sz w:val="20"/>
                <w:szCs w:val="20"/>
                <w:lang w:eastAsia="ja-JP" w:bidi="ar-SA"/>
              </w:rPr>
            </w:pPr>
            <w:r w:rsidRPr="004F66E6">
              <w:rPr>
                <w:rFonts w:ascii="Lucida Console" w:eastAsia="Times New Roman" w:hAnsi="Lucida Console" w:cs="Calibri"/>
                <w:color w:val="000000"/>
                <w:kern w:val="0"/>
                <w:sz w:val="20"/>
                <w:szCs w:val="20"/>
                <w:lang w:eastAsia="ja-JP" w:bidi="ar-SA"/>
              </w:rPr>
              <w:t>1079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EF99" w14:textId="77777777" w:rsidR="00877937" w:rsidRPr="004F66E6" w:rsidRDefault="00877937" w:rsidP="00877937">
            <w:pPr>
              <w:widowControl/>
              <w:suppressAutoHyphens w:val="0"/>
              <w:jc w:val="right"/>
              <w:rPr>
                <w:rFonts w:ascii="Lucida Console" w:eastAsia="Times New Roman" w:hAnsi="Lucida Console" w:cs="Calibri"/>
                <w:color w:val="000000"/>
                <w:kern w:val="0"/>
                <w:sz w:val="20"/>
                <w:szCs w:val="20"/>
                <w:lang w:eastAsia="ja-JP" w:bidi="ar-SA"/>
              </w:rPr>
            </w:pPr>
            <w:r w:rsidRPr="004F66E6">
              <w:rPr>
                <w:rFonts w:ascii="Lucida Console" w:eastAsia="Times New Roman" w:hAnsi="Lucida Console" w:cs="Calibri"/>
                <w:color w:val="000000"/>
                <w:kern w:val="0"/>
                <w:sz w:val="20"/>
                <w:szCs w:val="20"/>
                <w:lang w:eastAsia="ja-JP" w:bidi="ar-SA"/>
              </w:rPr>
              <w:t>7.386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8957" w14:textId="77777777" w:rsidR="00877937" w:rsidRPr="004F66E6" w:rsidRDefault="00877937" w:rsidP="00877937">
            <w:pPr>
              <w:widowControl/>
              <w:suppressAutoHyphens w:val="0"/>
              <w:jc w:val="right"/>
              <w:rPr>
                <w:rFonts w:ascii="Lucida Console" w:eastAsia="Times New Roman" w:hAnsi="Lucida Console" w:cs="Calibri"/>
                <w:color w:val="000000"/>
                <w:kern w:val="0"/>
                <w:sz w:val="20"/>
                <w:szCs w:val="20"/>
                <w:lang w:eastAsia="ja-JP" w:bidi="ar-SA"/>
              </w:rPr>
            </w:pPr>
            <w:r w:rsidRPr="004F66E6">
              <w:rPr>
                <w:rFonts w:ascii="Lucida Console" w:eastAsia="Times New Roman" w:hAnsi="Lucida Console" w:cs="Calibri"/>
                <w:color w:val="000000"/>
                <w:kern w:val="0"/>
                <w:sz w:val="20"/>
                <w:szCs w:val="20"/>
                <w:lang w:eastAsia="ja-JP" w:bidi="ar-SA"/>
              </w:rPr>
              <w:t>0.723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9065" w14:textId="77777777" w:rsidR="00877937" w:rsidRPr="004F66E6" w:rsidRDefault="00877937" w:rsidP="00877937">
            <w:pPr>
              <w:widowControl/>
              <w:suppressAutoHyphens w:val="0"/>
              <w:jc w:val="right"/>
              <w:rPr>
                <w:rFonts w:ascii="Lucida Console" w:eastAsia="Times New Roman" w:hAnsi="Lucida Console" w:cs="Calibri"/>
                <w:color w:val="000000"/>
                <w:kern w:val="0"/>
                <w:sz w:val="20"/>
                <w:szCs w:val="20"/>
                <w:lang w:eastAsia="ja-JP" w:bidi="ar-SA"/>
              </w:rPr>
            </w:pPr>
            <w:r w:rsidRPr="004F66E6">
              <w:rPr>
                <w:rFonts w:ascii="Lucida Console" w:eastAsia="Times New Roman" w:hAnsi="Lucida Console" w:cs="Calibri"/>
                <w:color w:val="000000"/>
                <w:kern w:val="0"/>
                <w:sz w:val="20"/>
                <w:szCs w:val="20"/>
                <w:lang w:eastAsia="ja-JP" w:bidi="ar-SA"/>
              </w:rPr>
              <w:t>6.997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3899" w14:textId="77777777" w:rsidR="00877937" w:rsidRPr="004F66E6" w:rsidRDefault="00877937" w:rsidP="00877937">
            <w:pPr>
              <w:widowControl/>
              <w:suppressAutoHyphens w:val="0"/>
              <w:jc w:val="right"/>
              <w:rPr>
                <w:rFonts w:ascii="Lucida Console" w:eastAsia="Times New Roman" w:hAnsi="Lucida Console" w:cs="Calibri"/>
                <w:color w:val="000000"/>
                <w:kern w:val="0"/>
                <w:sz w:val="20"/>
                <w:szCs w:val="20"/>
                <w:lang w:eastAsia="ja-JP" w:bidi="ar-SA"/>
              </w:rPr>
            </w:pPr>
            <w:r w:rsidRPr="004F66E6">
              <w:rPr>
                <w:rFonts w:ascii="Lucida Console" w:eastAsia="Times New Roman" w:hAnsi="Lucida Console" w:cs="Calibri"/>
                <w:color w:val="000000"/>
                <w:kern w:val="0"/>
                <w:sz w:val="20"/>
                <w:szCs w:val="20"/>
                <w:lang w:eastAsia="ja-JP" w:bidi="ar-SA"/>
              </w:rPr>
              <w:t>7.424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317A" w14:textId="77777777" w:rsidR="00877937" w:rsidRPr="004F66E6" w:rsidRDefault="00877937" w:rsidP="00877937">
            <w:pPr>
              <w:widowControl/>
              <w:suppressAutoHyphens w:val="0"/>
              <w:jc w:val="right"/>
              <w:rPr>
                <w:rFonts w:ascii="Lucida Console" w:eastAsia="Times New Roman" w:hAnsi="Lucida Console" w:cs="Calibri"/>
                <w:color w:val="000000"/>
                <w:kern w:val="0"/>
                <w:sz w:val="20"/>
                <w:szCs w:val="20"/>
                <w:lang w:eastAsia="ja-JP" w:bidi="ar-SA"/>
              </w:rPr>
            </w:pPr>
            <w:r w:rsidRPr="004F66E6">
              <w:rPr>
                <w:rFonts w:ascii="Lucida Console" w:eastAsia="Times New Roman" w:hAnsi="Lucida Console" w:cs="Calibri"/>
                <w:color w:val="000000"/>
                <w:kern w:val="0"/>
                <w:sz w:val="20"/>
                <w:szCs w:val="20"/>
                <w:lang w:eastAsia="ja-JP" w:bidi="ar-SA"/>
              </w:rPr>
              <w:t>7.786</w:t>
            </w:r>
          </w:p>
        </w:tc>
      </w:tr>
      <w:tr w:rsidR="00877937" w:rsidRPr="00877937" w14:paraId="47DB1EC4" w14:textId="77777777" w:rsidTr="0087793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2A452" w14:textId="77777777" w:rsidR="00877937" w:rsidRPr="00877937" w:rsidRDefault="00877937" w:rsidP="0087793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87793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ja-JP" w:bidi="ar-SA"/>
              </w:rPr>
              <w:t>Women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6B994" w14:textId="77777777" w:rsidR="00877937" w:rsidRPr="004F66E6" w:rsidRDefault="00877937" w:rsidP="00877937">
            <w:pPr>
              <w:widowControl/>
              <w:suppressAutoHyphens w:val="0"/>
              <w:jc w:val="right"/>
              <w:rPr>
                <w:rFonts w:ascii="Lucida Console" w:eastAsia="Times New Roman" w:hAnsi="Lucida Console" w:cs="Calibri"/>
                <w:color w:val="000000"/>
                <w:kern w:val="0"/>
                <w:sz w:val="20"/>
                <w:szCs w:val="20"/>
                <w:lang w:eastAsia="ja-JP" w:bidi="ar-SA"/>
              </w:rPr>
            </w:pPr>
            <w:r w:rsidRPr="004F66E6">
              <w:rPr>
                <w:rFonts w:ascii="Lucida Console" w:eastAsia="Times New Roman" w:hAnsi="Lucida Console" w:cs="Calibri"/>
                <w:color w:val="000000"/>
                <w:kern w:val="0"/>
                <w:sz w:val="20"/>
                <w:szCs w:val="20"/>
                <w:lang w:eastAsia="ja-JP" w:bidi="ar-SA"/>
              </w:rPr>
              <w:t>1145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A29CD" w14:textId="77777777" w:rsidR="00877937" w:rsidRPr="004F66E6" w:rsidRDefault="00877937" w:rsidP="00877937">
            <w:pPr>
              <w:widowControl/>
              <w:suppressAutoHyphens w:val="0"/>
              <w:jc w:val="right"/>
              <w:rPr>
                <w:rFonts w:ascii="Lucida Console" w:eastAsia="Times New Roman" w:hAnsi="Lucida Console" w:cs="Calibri"/>
                <w:color w:val="000000"/>
                <w:kern w:val="0"/>
                <w:sz w:val="20"/>
                <w:szCs w:val="20"/>
                <w:lang w:eastAsia="ja-JP" w:bidi="ar-SA"/>
              </w:rPr>
            </w:pPr>
            <w:bookmarkStart w:id="0" w:name="_GoBack"/>
            <w:bookmarkEnd w:id="0"/>
            <w:r w:rsidRPr="004F66E6">
              <w:rPr>
                <w:rFonts w:ascii="Lucida Console" w:eastAsia="Times New Roman" w:hAnsi="Lucida Console" w:cs="Calibri"/>
                <w:color w:val="000000"/>
                <w:kern w:val="0"/>
                <w:sz w:val="20"/>
                <w:szCs w:val="20"/>
                <w:lang w:eastAsia="ja-JP" w:bidi="ar-SA"/>
              </w:rPr>
              <w:t>5.747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25870" w14:textId="77777777" w:rsidR="00877937" w:rsidRPr="004F66E6" w:rsidRDefault="00877937" w:rsidP="00877937">
            <w:pPr>
              <w:widowControl/>
              <w:suppressAutoHyphens w:val="0"/>
              <w:jc w:val="right"/>
              <w:rPr>
                <w:rFonts w:ascii="Lucida Console" w:eastAsia="Times New Roman" w:hAnsi="Lucida Console" w:cs="Calibri"/>
                <w:color w:val="000000"/>
                <w:kern w:val="0"/>
                <w:sz w:val="20"/>
                <w:szCs w:val="20"/>
                <w:lang w:eastAsia="ja-JP" w:bidi="ar-SA"/>
              </w:rPr>
            </w:pPr>
            <w:r w:rsidRPr="004F66E6">
              <w:rPr>
                <w:rFonts w:ascii="Lucida Console" w:eastAsia="Times New Roman" w:hAnsi="Lucida Console" w:cs="Calibri"/>
                <w:color w:val="000000"/>
                <w:kern w:val="0"/>
                <w:sz w:val="20"/>
                <w:szCs w:val="20"/>
                <w:lang w:eastAsia="ja-JP" w:bidi="ar-SA"/>
              </w:rPr>
              <w:t>0.498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7BF05" w14:textId="77777777" w:rsidR="00877937" w:rsidRPr="004F66E6" w:rsidRDefault="00877937" w:rsidP="00877937">
            <w:pPr>
              <w:widowControl/>
              <w:suppressAutoHyphens w:val="0"/>
              <w:jc w:val="right"/>
              <w:rPr>
                <w:rFonts w:ascii="Lucida Console" w:eastAsia="Times New Roman" w:hAnsi="Lucida Console" w:cs="Calibri"/>
                <w:color w:val="000000"/>
                <w:kern w:val="0"/>
                <w:sz w:val="20"/>
                <w:szCs w:val="20"/>
                <w:lang w:eastAsia="ja-JP" w:bidi="ar-SA"/>
              </w:rPr>
            </w:pPr>
            <w:r w:rsidRPr="004F66E6">
              <w:rPr>
                <w:rFonts w:ascii="Lucida Console" w:eastAsia="Times New Roman" w:hAnsi="Lucida Console" w:cs="Calibri"/>
                <w:color w:val="000000"/>
                <w:kern w:val="0"/>
                <w:sz w:val="20"/>
                <w:szCs w:val="20"/>
                <w:lang w:eastAsia="ja-JP" w:bidi="ar-SA"/>
              </w:rPr>
              <w:t>5.444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7DFE2" w14:textId="77777777" w:rsidR="00877937" w:rsidRPr="004F66E6" w:rsidRDefault="00877937" w:rsidP="00877937">
            <w:pPr>
              <w:widowControl/>
              <w:suppressAutoHyphens w:val="0"/>
              <w:jc w:val="right"/>
              <w:rPr>
                <w:rFonts w:ascii="Lucida Console" w:eastAsia="Times New Roman" w:hAnsi="Lucida Console" w:cs="Calibri"/>
                <w:color w:val="000000"/>
                <w:kern w:val="0"/>
                <w:sz w:val="20"/>
                <w:szCs w:val="20"/>
                <w:lang w:eastAsia="ja-JP" w:bidi="ar-SA"/>
              </w:rPr>
            </w:pPr>
            <w:r w:rsidRPr="004F66E6">
              <w:rPr>
                <w:rFonts w:ascii="Lucida Console" w:eastAsia="Times New Roman" w:hAnsi="Lucida Console" w:cs="Calibri"/>
                <w:color w:val="000000"/>
                <w:kern w:val="0"/>
                <w:sz w:val="20"/>
                <w:szCs w:val="20"/>
                <w:lang w:eastAsia="ja-JP" w:bidi="ar-SA"/>
              </w:rPr>
              <w:t>5.677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4BC5E" w14:textId="77777777" w:rsidR="00877937" w:rsidRPr="004F66E6" w:rsidRDefault="00877937" w:rsidP="00877937">
            <w:pPr>
              <w:widowControl/>
              <w:suppressAutoHyphens w:val="0"/>
              <w:jc w:val="right"/>
              <w:rPr>
                <w:rFonts w:ascii="Lucida Console" w:eastAsia="Times New Roman" w:hAnsi="Lucida Console" w:cs="Calibri"/>
                <w:color w:val="000000"/>
                <w:kern w:val="0"/>
                <w:sz w:val="20"/>
                <w:szCs w:val="20"/>
                <w:lang w:eastAsia="ja-JP" w:bidi="ar-SA"/>
              </w:rPr>
            </w:pPr>
            <w:r w:rsidRPr="004F66E6">
              <w:rPr>
                <w:rFonts w:ascii="Lucida Console" w:eastAsia="Times New Roman" w:hAnsi="Lucida Console" w:cs="Calibri"/>
                <w:color w:val="000000"/>
                <w:kern w:val="0"/>
                <w:sz w:val="20"/>
                <w:szCs w:val="20"/>
                <w:lang w:eastAsia="ja-JP" w:bidi="ar-SA"/>
              </w:rPr>
              <w:t>5.991</w:t>
            </w:r>
          </w:p>
        </w:tc>
      </w:tr>
    </w:tbl>
    <w:p w14:paraId="3C381D05" w14:textId="77777777" w:rsidR="00877937" w:rsidRDefault="00877937" w:rsidP="00124905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ja-JP" w:bidi="ar-SA"/>
        </w:rPr>
      </w:pPr>
    </w:p>
    <w:p w14:paraId="4FBE1E29" w14:textId="77777777" w:rsidR="003475D0" w:rsidRPr="003475D0" w:rsidRDefault="003475D0" w:rsidP="003475D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ja-JP" w:bidi="ar-SA"/>
        </w:rPr>
      </w:pPr>
      <w:r w:rsidRPr="003475D0">
        <w:rPr>
          <w:rFonts w:eastAsia="Times New Roman" w:cs="Times New Roman"/>
          <w:kern w:val="0"/>
          <w:lang w:eastAsia="ja-JP" w:bidi="ar-SA"/>
        </w:rPr>
        <w:t>Paral</w:t>
      </w:r>
      <w:r>
        <w:rPr>
          <w:rFonts w:eastAsia="Times New Roman" w:cs="Times New Roman"/>
          <w:kern w:val="0"/>
          <w:lang w:eastAsia="ja-JP" w:bidi="ar-SA"/>
        </w:rPr>
        <w:t xml:space="preserve">lel boxplots for men and women are shown below. </w:t>
      </w:r>
      <w:r w:rsidRPr="003475D0">
        <w:rPr>
          <w:rFonts w:eastAsia="Times New Roman" w:cs="Times New Roman"/>
          <w:kern w:val="0"/>
          <w:lang w:eastAsia="ja-JP" w:bidi="ar-SA"/>
        </w:rPr>
        <w:t>The summary statistics and the boxplots t</w:t>
      </w:r>
      <w:r>
        <w:rPr>
          <w:rFonts w:eastAsia="Times New Roman" w:cs="Times New Roman"/>
          <w:kern w:val="0"/>
          <w:lang w:eastAsia="ja-JP" w:bidi="ar-SA"/>
        </w:rPr>
        <w:t>ell the same story: BMR values</w:t>
      </w:r>
      <w:r w:rsidRPr="003475D0">
        <w:rPr>
          <w:rFonts w:eastAsia="Times New Roman" w:cs="Times New Roman"/>
          <w:kern w:val="0"/>
          <w:lang w:eastAsia="ja-JP" w:bidi="ar-SA"/>
        </w:rPr>
        <w:t xml:space="preserve"> are gene</w:t>
      </w:r>
      <w:r>
        <w:rPr>
          <w:rFonts w:eastAsia="Times New Roman" w:cs="Times New Roman"/>
          <w:kern w:val="0"/>
          <w:lang w:eastAsia="ja-JP" w:bidi="ar-SA"/>
        </w:rPr>
        <w:t>rally higher for men compared to women.</w:t>
      </w:r>
      <w:r w:rsidRPr="003475D0">
        <w:rPr>
          <w:rFonts w:eastAsia="Times New Roman" w:cs="Times New Roman"/>
          <w:kern w:val="0"/>
          <w:lang w:eastAsia="ja-JP" w:bidi="ar-SA"/>
        </w:rPr>
        <w:t xml:space="preserve"> The result might be different, though, if we r</w:t>
      </w:r>
      <w:r w:rsidR="00E14547">
        <w:rPr>
          <w:rFonts w:eastAsia="Times New Roman" w:cs="Times New Roman"/>
          <w:kern w:val="0"/>
          <w:lang w:eastAsia="ja-JP" w:bidi="ar-SA"/>
        </w:rPr>
        <w:t>epeat the experiment and use</w:t>
      </w:r>
      <w:r>
        <w:rPr>
          <w:rFonts w:eastAsia="Times New Roman" w:cs="Times New Roman"/>
          <w:kern w:val="0"/>
          <w:lang w:eastAsia="ja-JP" w:bidi="ar-SA"/>
        </w:rPr>
        <w:t xml:space="preserve"> </w:t>
      </w:r>
      <w:r w:rsidR="00E14547">
        <w:rPr>
          <w:rFonts w:eastAsia="Times New Roman" w:cs="Times New Roman"/>
          <w:kern w:val="0"/>
          <w:lang w:eastAsia="ja-JP" w:bidi="ar-SA"/>
        </w:rPr>
        <w:t>new sample</w:t>
      </w:r>
      <w:r w:rsidRPr="003475D0">
        <w:rPr>
          <w:rFonts w:eastAsia="Times New Roman" w:cs="Times New Roman"/>
          <w:kern w:val="0"/>
          <w:lang w:eastAsia="ja-JP" w:bidi="ar-SA"/>
        </w:rPr>
        <w:t>. The purpose of the sta</w:t>
      </w:r>
      <w:r>
        <w:rPr>
          <w:rFonts w:eastAsia="Times New Roman" w:cs="Times New Roman"/>
          <w:kern w:val="0"/>
          <w:lang w:eastAsia="ja-JP" w:bidi="ar-SA"/>
        </w:rPr>
        <w:t xml:space="preserve">tistical analysis is to clarify </w:t>
      </w:r>
      <w:r w:rsidRPr="003475D0">
        <w:rPr>
          <w:rFonts w:eastAsia="Times New Roman" w:cs="Times New Roman"/>
          <w:kern w:val="0"/>
          <w:lang w:eastAsia="ja-JP" w:bidi="ar-SA"/>
        </w:rPr>
        <w:t>whether th</w:t>
      </w:r>
      <w:r>
        <w:rPr>
          <w:rFonts w:eastAsia="Times New Roman" w:cs="Times New Roman"/>
          <w:kern w:val="0"/>
          <w:lang w:eastAsia="ja-JP" w:bidi="ar-SA"/>
        </w:rPr>
        <w:t>e observed difference between men and women</w:t>
      </w:r>
      <w:r w:rsidRPr="003475D0">
        <w:rPr>
          <w:rFonts w:eastAsia="Times New Roman" w:cs="Times New Roman"/>
          <w:kern w:val="0"/>
          <w:lang w:eastAsia="ja-JP" w:bidi="ar-SA"/>
        </w:rPr>
        <w:t xml:space="preserve"> is caused by an actual</w:t>
      </w:r>
    </w:p>
    <w:p w14:paraId="4B97E076" w14:textId="77777777" w:rsidR="003475D0" w:rsidRDefault="003475D0" w:rsidP="000F2DFB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ja-JP" w:bidi="ar-SA"/>
        </w:rPr>
      </w:pPr>
      <w:r>
        <w:rPr>
          <w:rFonts w:eastAsia="Times New Roman" w:cs="Times New Roman"/>
          <w:kern w:val="0"/>
          <w:lang w:eastAsia="ja-JP" w:bidi="ar-SA"/>
        </w:rPr>
        <w:t>difference</w:t>
      </w:r>
      <w:r w:rsidRPr="003475D0">
        <w:rPr>
          <w:rFonts w:eastAsia="Times New Roman" w:cs="Times New Roman"/>
          <w:kern w:val="0"/>
          <w:lang w:eastAsia="ja-JP" w:bidi="ar-SA"/>
        </w:rPr>
        <w:t>.</w:t>
      </w:r>
    </w:p>
    <w:p w14:paraId="1C8AF958" w14:textId="5B06C60F" w:rsidR="003475D0" w:rsidRDefault="003475D0" w:rsidP="000F2DFB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ja-JP" w:bidi="ar-SA"/>
        </w:rPr>
      </w:pPr>
      <w:r>
        <w:rPr>
          <w:rFonts w:eastAsia="Times New Roman" w:cs="Times New Roman"/>
          <w:kern w:val="0"/>
          <w:lang w:eastAsia="ja-JP" w:bidi="ar-SA"/>
        </w:rPr>
        <w:t xml:space="preserve">                                            </w:t>
      </w:r>
      <w:r w:rsidR="00E467DE">
        <w:rPr>
          <w:rFonts w:eastAsia="Times New Roman" w:cs="Times New Roman"/>
          <w:noProof/>
          <w:kern w:val="0"/>
          <w:lang w:eastAsia="ja-JP" w:bidi="ar-SA"/>
        </w:rPr>
        <w:drawing>
          <wp:inline distT="0" distB="0" distL="0" distR="0" wp14:anchorId="3DE7ED5A" wp14:editId="76EC1C4E">
            <wp:extent cx="2457450" cy="2505075"/>
            <wp:effectExtent l="0" t="0" r="0" b="0"/>
            <wp:docPr id="1" name="Picture 1" descr="bmrbox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mrboxplo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C5CB8" w14:textId="77777777" w:rsidR="00124905" w:rsidRPr="000F2DFB" w:rsidRDefault="00284A46" w:rsidP="000F2DFB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ja-JP" w:bidi="ar-SA"/>
        </w:rPr>
      </w:pPr>
      <w:r>
        <w:rPr>
          <w:rFonts w:eastAsia="Times New Roman" w:cs="Times New Roman"/>
          <w:kern w:val="0"/>
          <w:lang w:eastAsia="ja-JP" w:bidi="ar-SA"/>
        </w:rPr>
        <w:t xml:space="preserve">The </w:t>
      </w:r>
      <w:r w:rsidR="00124905" w:rsidRPr="00124905">
        <w:rPr>
          <w:rFonts w:eastAsia="Times New Roman" w:cs="Times New Roman"/>
          <w:kern w:val="0"/>
          <w:lang w:eastAsia="ja-JP" w:bidi="ar-SA"/>
        </w:rPr>
        <w:t>histogram</w:t>
      </w:r>
      <w:r w:rsidR="000F2DFB">
        <w:rPr>
          <w:rFonts w:eastAsia="Times New Roman" w:cs="Times New Roman"/>
          <w:kern w:val="0"/>
          <w:lang w:eastAsia="ja-JP" w:bidi="ar-SA"/>
        </w:rPr>
        <w:t xml:space="preserve"> (below left) includes </w:t>
      </w:r>
      <w:r w:rsidR="00124905" w:rsidRPr="00124905">
        <w:rPr>
          <w:rFonts w:eastAsia="Times New Roman" w:cs="Times New Roman"/>
          <w:kern w:val="0"/>
          <w:lang w:eastAsia="ja-JP" w:bidi="ar-SA"/>
        </w:rPr>
        <w:t>all data, and a QQ-plot</w:t>
      </w:r>
      <w:r w:rsidR="000F2DFB">
        <w:rPr>
          <w:rFonts w:eastAsia="Times New Roman" w:cs="Times New Roman"/>
          <w:kern w:val="0"/>
          <w:lang w:eastAsia="ja-JP" w:bidi="ar-SA"/>
        </w:rPr>
        <w:t xml:space="preserve"> </w:t>
      </w:r>
      <w:r w:rsidR="00124905" w:rsidRPr="00124905">
        <w:rPr>
          <w:rFonts w:eastAsia="Times New Roman" w:cs="Times New Roman"/>
          <w:kern w:val="0"/>
          <w:lang w:eastAsia="ja-JP" w:bidi="ar-SA"/>
        </w:rPr>
        <w:t>is shown in the lower right figure. The distribution</w:t>
      </w:r>
      <w:r w:rsidR="000F2DFB">
        <w:rPr>
          <w:rFonts w:eastAsia="Times New Roman" w:cs="Times New Roman"/>
          <w:kern w:val="0"/>
          <w:lang w:eastAsia="ja-JP" w:bidi="ar-SA"/>
        </w:rPr>
        <w:t xml:space="preserve"> </w:t>
      </w:r>
      <w:r w:rsidR="00124905" w:rsidRPr="00124905">
        <w:rPr>
          <w:rFonts w:eastAsia="Times New Roman" w:cs="Times New Roman"/>
          <w:kern w:val="0"/>
          <w:lang w:eastAsia="ja-JP" w:bidi="ar-SA"/>
        </w:rPr>
        <w:t>is clearly bimodal and the normal approximation is thus not appropriate</w:t>
      </w:r>
      <w:r w:rsidR="003475D0">
        <w:rPr>
          <w:rFonts w:eastAsia="Times New Roman" w:cs="Times New Roman"/>
          <w:kern w:val="0"/>
          <w:lang w:eastAsia="ja-JP" w:bidi="ar-SA"/>
        </w:rPr>
        <w:t>.</w:t>
      </w:r>
    </w:p>
    <w:p w14:paraId="15CDB7B8" w14:textId="093574CF" w:rsidR="00820E82" w:rsidRPr="00E14547" w:rsidRDefault="00E467DE">
      <w:pPr>
        <w:tabs>
          <w:tab w:val="left" w:pos="1080"/>
        </w:tabs>
        <w:rPr>
          <w:rFonts w:cs="Tahoma"/>
        </w:rPr>
      </w:pPr>
      <w:r>
        <w:rPr>
          <w:rFonts w:cs="Tahoma"/>
          <w:noProof/>
        </w:rPr>
        <w:drawing>
          <wp:inline distT="0" distB="0" distL="0" distR="0" wp14:anchorId="058971A3" wp14:editId="0D1F6A16">
            <wp:extent cx="2724150" cy="2790825"/>
            <wp:effectExtent l="0" t="0" r="0" b="0"/>
            <wp:docPr id="2" name="Picture 2" descr="bmrh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mrhi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ahoma"/>
          <w:noProof/>
        </w:rPr>
        <w:drawing>
          <wp:inline distT="0" distB="0" distL="0" distR="0" wp14:anchorId="04D928D3" wp14:editId="5B268378">
            <wp:extent cx="2667000" cy="2724150"/>
            <wp:effectExtent l="0" t="0" r="0" b="0"/>
            <wp:docPr id="3" name="Picture 3" descr="bmr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mrq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DBC27" w14:textId="77777777" w:rsidR="00093CB9" w:rsidRDefault="00ED6EA5">
      <w:pPr>
        <w:tabs>
          <w:tab w:val="left" w:pos="1080"/>
        </w:tabs>
        <w:rPr>
          <w:rFonts w:eastAsia="Lucida Sans Unicode" w:cs="Tahoma"/>
        </w:rPr>
      </w:pPr>
      <w:r>
        <w:rPr>
          <w:rFonts w:eastAsia="Lucida Sans Unicode" w:cs="Tahoma"/>
          <w:b/>
        </w:rPr>
        <w:lastRenderedPageBreak/>
        <w:t>Statistical model and d</w:t>
      </w:r>
      <w:r w:rsidR="00820E82">
        <w:rPr>
          <w:rFonts w:eastAsia="Lucida Sans Unicode" w:cs="Tahoma"/>
          <w:b/>
        </w:rPr>
        <w:t>a</w:t>
      </w:r>
      <w:r>
        <w:rPr>
          <w:rFonts w:eastAsia="Lucida Sans Unicode" w:cs="Tahoma"/>
          <w:b/>
        </w:rPr>
        <w:t>ta analysis</w:t>
      </w:r>
      <w:r w:rsidR="00820E82">
        <w:rPr>
          <w:rFonts w:eastAsia="Lucida Sans Unicode" w:cs="Tahoma"/>
          <w:b/>
        </w:rPr>
        <w:t xml:space="preserve">. </w:t>
      </w:r>
      <w:r w:rsidR="00820E82">
        <w:rPr>
          <w:rFonts w:eastAsia="Lucida Sans Unicode" w:cs="Tahoma"/>
        </w:rPr>
        <w:t xml:space="preserve"> </w:t>
      </w:r>
      <w:r>
        <w:rPr>
          <w:rFonts w:eastAsia="Lucida Sans Unicode" w:cs="Tahoma"/>
        </w:rPr>
        <w:t>The stu</w:t>
      </w:r>
      <w:r w:rsidR="005E0B87">
        <w:rPr>
          <w:rFonts w:eastAsia="Lucida Sans Unicode" w:cs="Tahoma"/>
        </w:rPr>
        <w:t>dy is the comparison of two groups, men and women,</w:t>
      </w:r>
      <w:r>
        <w:rPr>
          <w:rFonts w:eastAsia="Lucida Sans Unicode" w:cs="Tahoma"/>
        </w:rPr>
        <w:t xml:space="preserve"> in which we want to identify</w:t>
      </w:r>
      <w:r w:rsidR="00093CB9">
        <w:rPr>
          <w:rFonts w:eastAsia="Lucida Sans Unicode" w:cs="Tahoma"/>
        </w:rPr>
        <w:t xml:space="preserve"> the</w:t>
      </w:r>
      <w:r w:rsidR="005E0B87">
        <w:rPr>
          <w:rFonts w:eastAsia="Lucida Sans Unicode" w:cs="Tahoma"/>
        </w:rPr>
        <w:t xml:space="preserve"> </w:t>
      </w:r>
      <w:r w:rsidR="00093CB9">
        <w:rPr>
          <w:rFonts w:eastAsia="Lucida Sans Unicode" w:cs="Tahoma"/>
        </w:rPr>
        <w:t>parameter</w:t>
      </w:r>
      <w:r w:rsidR="005E0B87">
        <w:rPr>
          <w:rFonts w:eastAsia="Lucida Sans Unicode" w:cs="Tahoma"/>
        </w:rPr>
        <w:t>s</w:t>
      </w:r>
      <w:r w:rsidR="00093CB9">
        <w:rPr>
          <w:rFonts w:eastAsia="Lucida Sans Unicode" w:cs="Tahoma"/>
        </w:rPr>
        <w:t xml:space="preserve"> </w:t>
      </w:r>
      <w:r w:rsidR="005E0B87">
        <w:rPr>
          <w:rFonts w:eastAsia="Lucida Sans Unicode" w:cs="Times New Roman"/>
        </w:rPr>
        <w:t>α</w:t>
      </w:r>
      <w:r w:rsidR="005E0B87">
        <w:rPr>
          <w:rFonts w:eastAsia="Times New Roman" w:cs="Times New Roman"/>
          <w:color w:val="000000"/>
          <w:vertAlign w:val="subscript"/>
        </w:rPr>
        <w:t>Men</w:t>
      </w:r>
      <w:r w:rsidR="00093CB9">
        <w:rPr>
          <w:rFonts w:eastAsia="Lucida Sans Unicode" w:cs="Tahoma"/>
        </w:rPr>
        <w:t xml:space="preserve"> </w:t>
      </w:r>
      <w:r w:rsidR="005E0B87">
        <w:rPr>
          <w:rFonts w:eastAsia="Lucida Sans Unicode" w:cs="Tahoma"/>
        </w:rPr>
        <w:t xml:space="preserve">and </w:t>
      </w:r>
      <w:r w:rsidR="005E0B87">
        <w:rPr>
          <w:rFonts w:eastAsia="Lucida Sans Unicode" w:cs="Times New Roman"/>
        </w:rPr>
        <w:t>α</w:t>
      </w:r>
      <w:r w:rsidR="005E0B87">
        <w:rPr>
          <w:rFonts w:eastAsia="Times New Roman" w:cs="Times New Roman"/>
          <w:color w:val="000000"/>
          <w:vertAlign w:val="subscript"/>
        </w:rPr>
        <w:t>Women</w:t>
      </w:r>
      <w:r w:rsidR="005E0B87">
        <w:rPr>
          <w:rFonts w:eastAsia="Lucida Sans Unicode" w:cs="Tahoma"/>
        </w:rPr>
        <w:t xml:space="preserve"> </w:t>
      </w:r>
      <w:r w:rsidR="00093CB9">
        <w:rPr>
          <w:rFonts w:eastAsia="Lucida Sans Unicode" w:cs="Tahoma"/>
        </w:rPr>
        <w:t>o</w:t>
      </w:r>
      <w:r w:rsidR="005E0B87">
        <w:rPr>
          <w:rFonts w:eastAsia="Lucida Sans Unicode" w:cs="Tahoma"/>
        </w:rPr>
        <w:t xml:space="preserve">f </w:t>
      </w:r>
      <w:r w:rsidR="008E3EDF">
        <w:rPr>
          <w:rFonts w:eastAsia="Lucida Sans Unicode" w:cs="Tahoma"/>
        </w:rPr>
        <w:t xml:space="preserve">mean </w:t>
      </w:r>
      <w:r w:rsidR="005E0B87">
        <w:rPr>
          <w:rFonts w:eastAsia="Lucida Sans Unicode" w:cs="Tahoma"/>
        </w:rPr>
        <w:t xml:space="preserve">BMR for men and women. The model </w:t>
      </w:r>
      <w:r w:rsidR="00093CB9">
        <w:rPr>
          <w:rFonts w:eastAsia="Lucida Sans Unicode" w:cs="Tahoma"/>
        </w:rPr>
        <w:t>is given by</w:t>
      </w:r>
    </w:p>
    <w:p w14:paraId="79F7E162" w14:textId="77777777" w:rsidR="00093CB9" w:rsidRDefault="00093CB9">
      <w:pPr>
        <w:tabs>
          <w:tab w:val="left" w:pos="1080"/>
        </w:tabs>
        <w:rPr>
          <w:rFonts w:eastAsia="Lucida Sans Unicode" w:cs="Tahoma"/>
        </w:rPr>
      </w:pPr>
    </w:p>
    <w:p w14:paraId="358E55CD" w14:textId="77777777" w:rsidR="00902A8E" w:rsidRPr="001636E7" w:rsidRDefault="00902A8E" w:rsidP="00902A8E">
      <w:pPr>
        <w:rPr>
          <w:rFonts w:eastAsia="Times New Roman" w:cs="Times New Roman"/>
          <w:color w:val="000000"/>
        </w:rPr>
      </w:pPr>
      <w:proofErr w:type="spellStart"/>
      <w:proofErr w:type="gramStart"/>
      <w:r w:rsidRPr="001636E7">
        <w:rPr>
          <w:rFonts w:eastAsia="Times New Roman" w:cs="Times New Roman"/>
          <w:i/>
          <w:iCs/>
          <w:color w:val="000000"/>
        </w:rPr>
        <w:t>y</w:t>
      </w:r>
      <w:r>
        <w:rPr>
          <w:rFonts w:eastAsia="Times New Roman" w:cs="Times New Roman"/>
          <w:color w:val="000000"/>
          <w:vertAlign w:val="subscript"/>
        </w:rPr>
        <w:t>i</w:t>
      </w:r>
      <w:proofErr w:type="spellEnd"/>
      <w:r>
        <w:rPr>
          <w:rFonts w:eastAsia="Times New Roman" w:cs="Times New Roman"/>
          <w:color w:val="000000"/>
          <w:vertAlign w:val="subscript"/>
        </w:rPr>
        <w:t xml:space="preserve">  </w:t>
      </w:r>
      <w:r>
        <w:rPr>
          <w:rFonts w:eastAsia="Lucida Sans Unicode" w:cs="Tahoma"/>
        </w:rPr>
        <w:t>=</w:t>
      </w:r>
      <w:proofErr w:type="gramEnd"/>
      <w:r>
        <w:rPr>
          <w:rFonts w:eastAsia="Lucida Sans Unicode" w:cs="Tahoma"/>
        </w:rPr>
        <w:t xml:space="preserve"> </w:t>
      </w:r>
      <w:r w:rsidR="005E0B87">
        <w:rPr>
          <w:rFonts w:eastAsia="Lucida Sans Unicode" w:cs="Times New Roman"/>
        </w:rPr>
        <w:t>α</w:t>
      </w:r>
      <w:r w:rsidR="005E0B87">
        <w:rPr>
          <w:rFonts w:eastAsia="Times New Roman" w:cs="Times New Roman"/>
          <w:color w:val="000000"/>
          <w:vertAlign w:val="subscript"/>
        </w:rPr>
        <w:t>g(</w:t>
      </w:r>
      <w:proofErr w:type="spellStart"/>
      <w:r w:rsidR="005E0B87">
        <w:rPr>
          <w:rFonts w:eastAsia="Times New Roman" w:cs="Times New Roman"/>
          <w:color w:val="000000"/>
          <w:vertAlign w:val="subscript"/>
        </w:rPr>
        <w:t>i</w:t>
      </w:r>
      <w:proofErr w:type="spellEnd"/>
      <w:r w:rsidR="005E0B87">
        <w:rPr>
          <w:rFonts w:eastAsia="Times New Roman" w:cs="Times New Roman"/>
          <w:color w:val="000000"/>
          <w:vertAlign w:val="subscript"/>
        </w:rPr>
        <w:t>)</w:t>
      </w:r>
      <w:r w:rsidR="005E0B87">
        <w:rPr>
          <w:rFonts w:eastAsia="Lucida Sans Unicode" w:cs="Times New Roman"/>
        </w:rPr>
        <w:t xml:space="preserve"> </w:t>
      </w:r>
      <w:r>
        <w:rPr>
          <w:rFonts w:eastAsia="Lucida Sans Unicode" w:cs="Times New Roman"/>
        </w:rPr>
        <w:t xml:space="preserve">+ </w:t>
      </w:r>
      <w:proofErr w:type="spellStart"/>
      <w:r>
        <w:rPr>
          <w:rFonts w:eastAsia="Times New Roman" w:cs="Times New Roman"/>
          <w:i/>
          <w:iCs/>
          <w:color w:val="000000"/>
        </w:rPr>
        <w:t>e</w:t>
      </w:r>
      <w:r>
        <w:rPr>
          <w:rFonts w:eastAsia="Times New Roman" w:cs="Times New Roman"/>
          <w:color w:val="000000"/>
          <w:vertAlign w:val="subscript"/>
        </w:rPr>
        <w:t>i</w:t>
      </w:r>
      <w:proofErr w:type="spellEnd"/>
    </w:p>
    <w:p w14:paraId="307E7436" w14:textId="77777777" w:rsidR="00093CB9" w:rsidRDefault="00093CB9">
      <w:pPr>
        <w:tabs>
          <w:tab w:val="left" w:pos="1080"/>
        </w:tabs>
        <w:rPr>
          <w:rFonts w:eastAsia="Lucida Sans Unicode" w:cs="Tahoma"/>
        </w:rPr>
      </w:pPr>
    </w:p>
    <w:p w14:paraId="7E3D142E" w14:textId="77777777" w:rsidR="005E0B87" w:rsidRPr="000F3D9C" w:rsidRDefault="00902A8E" w:rsidP="000F3D9C">
      <w:pPr>
        <w:rPr>
          <w:rFonts w:eastAsia="Lucida Sans Unicode" w:cs="Tahoma"/>
        </w:rPr>
      </w:pPr>
      <w:r>
        <w:rPr>
          <w:rFonts w:eastAsia="Lucida Sans Unicode" w:cs="Tahoma"/>
        </w:rPr>
        <w:t xml:space="preserve">where </w:t>
      </w:r>
      <w:proofErr w:type="spellStart"/>
      <w:r w:rsidRPr="001636E7">
        <w:rPr>
          <w:rFonts w:eastAsia="Times New Roman" w:cs="Times New Roman"/>
          <w:i/>
          <w:iCs/>
          <w:color w:val="000000"/>
        </w:rPr>
        <w:t>y</w:t>
      </w:r>
      <w:r>
        <w:rPr>
          <w:rFonts w:eastAsia="Times New Roman" w:cs="Times New Roman"/>
          <w:color w:val="000000"/>
          <w:vertAlign w:val="subscript"/>
        </w:rPr>
        <w:t>i</w:t>
      </w:r>
      <w:proofErr w:type="spellEnd"/>
      <w:r>
        <w:rPr>
          <w:rFonts w:eastAsia="Times New Roman" w:cs="Times New Roman"/>
          <w:color w:val="000000"/>
          <w:vertAlign w:val="subscript"/>
        </w:rPr>
        <w:t xml:space="preserve"> </w:t>
      </w:r>
      <w:r w:rsidR="005E0B87">
        <w:rPr>
          <w:rFonts w:eastAsia="Times New Roman" w:cs="Times New Roman"/>
          <w:color w:val="000000"/>
        </w:rPr>
        <w:t>’s are the observed BMR,</w:t>
      </w:r>
      <w:r>
        <w:rPr>
          <w:rFonts w:eastAsia="Lucida Sans Unicode" w:cs="Times New Roman"/>
        </w:rPr>
        <w:t xml:space="preserve"> </w:t>
      </w:r>
      <w:proofErr w:type="spellStart"/>
      <w:proofErr w:type="gramStart"/>
      <w:r>
        <w:rPr>
          <w:rFonts w:eastAsia="Times New Roman" w:cs="Times New Roman"/>
          <w:i/>
          <w:iCs/>
          <w:color w:val="000000"/>
        </w:rPr>
        <w:t>e</w:t>
      </w:r>
      <w:r>
        <w:rPr>
          <w:rFonts w:eastAsia="Times New Roman" w:cs="Times New Roman"/>
          <w:color w:val="000000"/>
          <w:vertAlign w:val="subscript"/>
        </w:rPr>
        <w:t>i</w:t>
      </w:r>
      <w:r w:rsidR="005E0B87">
        <w:rPr>
          <w:rFonts w:eastAsia="Lucida Sans Unicode" w:cs="Tahoma"/>
        </w:rPr>
        <w:t>‘</w:t>
      </w:r>
      <w:proofErr w:type="gramEnd"/>
      <w:r w:rsidR="005E0B87">
        <w:rPr>
          <w:rFonts w:eastAsia="Lucida Sans Unicode" w:cs="Tahoma"/>
        </w:rPr>
        <w:t>s</w:t>
      </w:r>
      <w:proofErr w:type="spellEnd"/>
      <w:r w:rsidR="005E0B87">
        <w:rPr>
          <w:rFonts w:eastAsia="Lucida Sans Unicode" w:cs="Tahoma"/>
        </w:rPr>
        <w:t xml:space="preserve"> are the reminder terms, and </w:t>
      </w:r>
      <w:r w:rsidR="005E0B87" w:rsidRPr="00E14547">
        <w:rPr>
          <w:rFonts w:eastAsia="Lucida Sans Unicode" w:cs="Tahoma"/>
          <w:i/>
        </w:rPr>
        <w:t>g(</w:t>
      </w:r>
      <w:proofErr w:type="spellStart"/>
      <w:r w:rsidR="005E0B87" w:rsidRPr="00E14547">
        <w:rPr>
          <w:rFonts w:eastAsia="Lucida Sans Unicode" w:cs="Tahoma"/>
          <w:i/>
        </w:rPr>
        <w:t>i</w:t>
      </w:r>
      <w:proofErr w:type="spellEnd"/>
      <w:r w:rsidR="005E0B87" w:rsidRPr="00E14547">
        <w:rPr>
          <w:rFonts w:eastAsia="Lucida Sans Unicode" w:cs="Tahoma"/>
          <w:i/>
        </w:rPr>
        <w:t>)</w:t>
      </w:r>
      <w:r w:rsidR="005E0B87">
        <w:rPr>
          <w:rFonts w:eastAsia="Lucida Sans Unicode" w:cs="Tahoma"/>
        </w:rPr>
        <w:t xml:space="preserve"> is either “Men” or “Women.”</w:t>
      </w:r>
      <w:r w:rsidR="00284A46">
        <w:rPr>
          <w:rFonts w:eastAsia="Lucida Sans Unicode" w:cs="Tahoma"/>
        </w:rPr>
        <w:t xml:space="preserve"> Note that the reliability of statistical inference is dependent on the ability to assume that the reminder terms </w:t>
      </w:r>
      <w:proofErr w:type="spellStart"/>
      <w:proofErr w:type="gramStart"/>
      <w:r w:rsidR="00284A46">
        <w:rPr>
          <w:rFonts w:eastAsia="Times New Roman" w:cs="Times New Roman"/>
          <w:i/>
          <w:iCs/>
          <w:color w:val="000000"/>
        </w:rPr>
        <w:t>e</w:t>
      </w:r>
      <w:r w:rsidR="00284A46">
        <w:rPr>
          <w:rFonts w:eastAsia="Times New Roman" w:cs="Times New Roman"/>
          <w:color w:val="000000"/>
          <w:vertAlign w:val="subscript"/>
        </w:rPr>
        <w:t>i</w:t>
      </w:r>
      <w:r w:rsidR="00284A46">
        <w:rPr>
          <w:rFonts w:eastAsia="Lucida Sans Unicode" w:cs="Tahoma"/>
        </w:rPr>
        <w:t>‘</w:t>
      </w:r>
      <w:proofErr w:type="gramEnd"/>
      <w:r w:rsidR="00284A46">
        <w:rPr>
          <w:rFonts w:eastAsia="Lucida Sans Unicode" w:cs="Tahoma"/>
        </w:rPr>
        <w:t>s</w:t>
      </w:r>
      <w:proofErr w:type="spellEnd"/>
      <w:r w:rsidR="00284A46">
        <w:rPr>
          <w:rFonts w:eastAsia="Lucida Sans Unicode" w:cs="Tahoma"/>
        </w:rPr>
        <w:t xml:space="preserve"> come from a normal distribution. Thus, we need to assess the normality for the variable BMR since it is used to construct a confidence interval.</w:t>
      </w:r>
    </w:p>
    <w:p w14:paraId="083C1D61" w14:textId="77777777" w:rsidR="005E0B87" w:rsidRDefault="005E0B87" w:rsidP="005E0B87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ja-JP" w:bidi="ar-SA"/>
        </w:rPr>
      </w:pPr>
    </w:p>
    <w:p w14:paraId="053FBEAD" w14:textId="30865D8B" w:rsidR="005E0B87" w:rsidRDefault="00E467DE" w:rsidP="005E0B87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ja-JP" w:bidi="ar-SA"/>
        </w:rPr>
      </w:pPr>
      <w:r>
        <w:rPr>
          <w:rFonts w:eastAsia="Times New Roman" w:cs="Times New Roman"/>
          <w:noProof/>
          <w:kern w:val="0"/>
          <w:lang w:eastAsia="ja-JP" w:bidi="ar-SA"/>
        </w:rPr>
        <w:drawing>
          <wp:inline distT="0" distB="0" distL="0" distR="0" wp14:anchorId="19FFD962" wp14:editId="2ED806B7">
            <wp:extent cx="2952750" cy="2428875"/>
            <wp:effectExtent l="0" t="0" r="0" b="0"/>
            <wp:docPr id="4" name="Picture 4" descr="bmr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mrm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kern w:val="0"/>
          <w:lang w:eastAsia="ja-JP" w:bidi="ar-SA"/>
        </w:rPr>
        <w:drawing>
          <wp:inline distT="0" distB="0" distL="0" distR="0" wp14:anchorId="074336F5" wp14:editId="4969C9A5">
            <wp:extent cx="2924175" cy="2400300"/>
            <wp:effectExtent l="0" t="0" r="0" b="0"/>
            <wp:docPr id="5" name="Picture 5" descr="bmrwo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mrwom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29B4E" w14:textId="77777777" w:rsidR="001B2448" w:rsidRPr="000F3D9C" w:rsidRDefault="00284A46" w:rsidP="000F3D9C">
      <w:pPr>
        <w:rPr>
          <w:rFonts w:eastAsia="Lucida Sans Unicode" w:cs="Tahoma"/>
        </w:rPr>
      </w:pPr>
      <w:r>
        <w:rPr>
          <w:rFonts w:eastAsia="Times New Roman" w:cs="Times New Roman"/>
          <w:kern w:val="0"/>
          <w:lang w:eastAsia="ja-JP" w:bidi="ar-SA"/>
        </w:rPr>
        <w:t xml:space="preserve">The two separate histograms (left and right above) </w:t>
      </w:r>
      <w:r w:rsidRPr="00124905">
        <w:rPr>
          <w:rFonts w:eastAsia="Times New Roman" w:cs="Times New Roman"/>
          <w:kern w:val="0"/>
          <w:lang w:eastAsia="ja-JP" w:bidi="ar-SA"/>
        </w:rPr>
        <w:t>f</w:t>
      </w:r>
      <w:r>
        <w:rPr>
          <w:rFonts w:eastAsia="Times New Roman" w:cs="Times New Roman"/>
          <w:kern w:val="0"/>
          <w:lang w:eastAsia="ja-JP" w:bidi="ar-SA"/>
        </w:rPr>
        <w:t>or men and women, respectively show reasonably bell-shaped</w:t>
      </w:r>
      <w:r w:rsidRPr="00124905">
        <w:rPr>
          <w:rFonts w:eastAsia="Times New Roman" w:cs="Times New Roman"/>
          <w:kern w:val="0"/>
          <w:lang w:eastAsia="ja-JP" w:bidi="ar-SA"/>
        </w:rPr>
        <w:t xml:space="preserve"> (although not perfect) corresponding </w:t>
      </w:r>
      <w:r>
        <w:rPr>
          <w:rFonts w:eastAsia="Times New Roman" w:cs="Times New Roman"/>
          <w:kern w:val="0"/>
          <w:lang w:eastAsia="ja-JP" w:bidi="ar-SA"/>
        </w:rPr>
        <w:t xml:space="preserve">a </w:t>
      </w:r>
      <w:r w:rsidRPr="00124905">
        <w:rPr>
          <w:rFonts w:eastAsia="Times New Roman" w:cs="Times New Roman"/>
          <w:kern w:val="0"/>
          <w:lang w:eastAsia="ja-JP" w:bidi="ar-SA"/>
        </w:rPr>
        <w:t>normal density cu</w:t>
      </w:r>
      <w:r w:rsidR="002D47A4">
        <w:rPr>
          <w:rFonts w:eastAsia="Times New Roman" w:cs="Times New Roman"/>
          <w:kern w:val="0"/>
          <w:lang w:eastAsia="ja-JP" w:bidi="ar-SA"/>
        </w:rPr>
        <w:t>rve, and therefore,</w:t>
      </w:r>
      <w:r w:rsidRPr="00877937">
        <w:rPr>
          <w:rFonts w:eastAsia="Times New Roman" w:cs="Times New Roman"/>
          <w:kern w:val="0"/>
          <w:lang w:eastAsia="ja-JP" w:bidi="ar-SA"/>
        </w:rPr>
        <w:t xml:space="preserve"> the normal distribution was adequate</w:t>
      </w:r>
      <w:r>
        <w:rPr>
          <w:rFonts w:eastAsia="Lucida Sans Unicode" w:cs="Tahoma"/>
        </w:rPr>
        <w:t xml:space="preserve"> </w:t>
      </w:r>
      <w:r w:rsidRPr="00877937">
        <w:rPr>
          <w:rFonts w:eastAsia="Times New Roman" w:cs="Times New Roman"/>
          <w:kern w:val="0"/>
          <w:lang w:eastAsia="ja-JP" w:bidi="ar-SA"/>
        </w:rPr>
        <w:t>to describe the data for each of the samples. The distribution for the</w:t>
      </w:r>
      <w:r>
        <w:rPr>
          <w:rFonts w:eastAsia="Lucida Sans Unicode" w:cs="Tahoma"/>
        </w:rPr>
        <w:t xml:space="preserve"> </w:t>
      </w:r>
      <w:r w:rsidRPr="00877937">
        <w:rPr>
          <w:rFonts w:eastAsia="Times New Roman" w:cs="Times New Roman"/>
          <w:kern w:val="0"/>
          <w:lang w:eastAsia="ja-JP" w:bidi="ar-SA"/>
        </w:rPr>
        <w:t xml:space="preserve">sample of men seems to be slightly wider </w:t>
      </w:r>
      <w:r w:rsidR="002D47A4">
        <w:rPr>
          <w:rFonts w:eastAsia="Times New Roman" w:cs="Times New Roman"/>
          <w:kern w:val="0"/>
          <w:lang w:eastAsia="ja-JP" w:bidi="ar-SA"/>
        </w:rPr>
        <w:t>than for the sample of women. Thus,</w:t>
      </w:r>
      <w:r w:rsidRPr="00877937">
        <w:rPr>
          <w:rFonts w:eastAsia="Times New Roman" w:cs="Times New Roman"/>
          <w:kern w:val="0"/>
          <w:lang w:eastAsia="ja-JP" w:bidi="ar-SA"/>
        </w:rPr>
        <w:t xml:space="preserve"> we</w:t>
      </w:r>
      <w:r>
        <w:rPr>
          <w:rFonts w:eastAsia="Lucida Sans Unicode" w:cs="Tahoma"/>
        </w:rPr>
        <w:t xml:space="preserve"> </w:t>
      </w:r>
      <w:r>
        <w:rPr>
          <w:rFonts w:eastAsia="Times New Roman" w:cs="Times New Roman"/>
          <w:kern w:val="0"/>
          <w:lang w:eastAsia="ja-JP" w:bidi="ar-SA"/>
        </w:rPr>
        <w:t>may assume that their</w:t>
      </w:r>
      <w:r w:rsidR="00E14547">
        <w:rPr>
          <w:rFonts w:eastAsia="Times New Roman" w:cs="Times New Roman"/>
          <w:kern w:val="0"/>
          <w:lang w:eastAsia="ja-JP" w:bidi="ar-SA"/>
        </w:rPr>
        <w:t xml:space="preserve"> variances (or equivalently, the</w:t>
      </w:r>
      <w:r w:rsidRPr="00877937">
        <w:rPr>
          <w:rFonts w:eastAsia="Times New Roman" w:cs="Times New Roman"/>
          <w:kern w:val="0"/>
          <w:lang w:eastAsia="ja-JP" w:bidi="ar-SA"/>
        </w:rPr>
        <w:t xml:space="preserve"> standard deviations</w:t>
      </w:r>
      <w:r w:rsidR="00E14547">
        <w:rPr>
          <w:rFonts w:eastAsia="Times New Roman" w:cs="Times New Roman"/>
          <w:kern w:val="0"/>
          <w:lang w:eastAsia="ja-JP" w:bidi="ar-SA"/>
        </w:rPr>
        <w:t>)</w:t>
      </w:r>
      <w:r>
        <w:rPr>
          <w:rFonts w:eastAsia="Times New Roman" w:cs="Times New Roman"/>
          <w:kern w:val="0"/>
          <w:lang w:eastAsia="ja-JP" w:bidi="ar-SA"/>
        </w:rPr>
        <w:t xml:space="preserve"> are different</w:t>
      </w:r>
      <w:r w:rsidRPr="00877937">
        <w:rPr>
          <w:rFonts w:eastAsia="Times New Roman" w:cs="Times New Roman"/>
          <w:kern w:val="0"/>
          <w:lang w:eastAsia="ja-JP" w:bidi="ar-SA"/>
        </w:rPr>
        <w:t>.</w:t>
      </w:r>
      <w:r w:rsidR="000F3D9C">
        <w:rPr>
          <w:rFonts w:eastAsia="Lucida Sans Unicode" w:cs="Tahoma"/>
        </w:rPr>
        <w:t xml:space="preserve"> </w:t>
      </w:r>
      <w:r w:rsidR="001B2448">
        <w:rPr>
          <w:rFonts w:cs="Times New Roman"/>
        </w:rPr>
        <w:t>T</w:t>
      </w:r>
      <w:r w:rsidR="001B2448" w:rsidRPr="001B2448">
        <w:rPr>
          <w:rFonts w:eastAsia="Times New Roman" w:cs="Times New Roman"/>
          <w:kern w:val="0"/>
          <w:lang w:eastAsia="ja-JP" w:bidi="ar-SA"/>
        </w:rPr>
        <w:t>he means of the BMR</w:t>
      </w:r>
      <w:r w:rsidR="001B2448">
        <w:rPr>
          <w:rFonts w:eastAsia="Times New Roman" w:cs="Times New Roman"/>
          <w:kern w:val="0"/>
          <w:lang w:eastAsia="ja-JP" w:bidi="ar-SA"/>
        </w:rPr>
        <w:t xml:space="preserve"> variable are 7.386 for men and </w:t>
      </w:r>
      <w:r w:rsidR="001B2448" w:rsidRPr="001B2448">
        <w:rPr>
          <w:rFonts w:eastAsia="Times New Roman" w:cs="Times New Roman"/>
          <w:kern w:val="0"/>
          <w:lang w:eastAsia="ja-JP" w:bidi="ar-SA"/>
        </w:rPr>
        <w:t xml:space="preserve">5.747 </w:t>
      </w:r>
      <w:r w:rsidR="000F3D9C">
        <w:rPr>
          <w:rFonts w:eastAsia="Times New Roman" w:cs="Times New Roman"/>
          <w:kern w:val="0"/>
          <w:lang w:eastAsia="ja-JP" w:bidi="ar-SA"/>
        </w:rPr>
        <w:t>for women, respectively</w:t>
      </w:r>
      <w:r w:rsidR="002D47A4">
        <w:rPr>
          <w:rFonts w:eastAsia="Times New Roman" w:cs="Times New Roman"/>
          <w:kern w:val="0"/>
          <w:lang w:eastAsia="ja-JP" w:bidi="ar-SA"/>
        </w:rPr>
        <w:t xml:space="preserve">, and </w:t>
      </w:r>
      <w:r w:rsidR="001B2448" w:rsidRPr="001B2448">
        <w:rPr>
          <w:rFonts w:eastAsia="Times New Roman" w:cs="Times New Roman"/>
          <w:kern w:val="0"/>
          <w:lang w:eastAsia="ja-JP" w:bidi="ar-SA"/>
        </w:rPr>
        <w:t>the difference</w:t>
      </w:r>
      <w:r w:rsidR="001B2448">
        <w:rPr>
          <w:rFonts w:eastAsia="Times New Roman" w:cs="Times New Roman"/>
          <w:kern w:val="0"/>
          <w:lang w:eastAsia="ja-JP" w:bidi="ar-SA"/>
        </w:rPr>
        <w:t xml:space="preserve"> (</w:t>
      </w:r>
      <w:r w:rsidR="001B2448">
        <w:rPr>
          <w:rFonts w:eastAsia="Lucida Sans Unicode" w:cs="Times New Roman"/>
        </w:rPr>
        <w:t>α</w:t>
      </w:r>
      <w:r w:rsidR="001B2448">
        <w:rPr>
          <w:rFonts w:eastAsia="Times New Roman" w:cs="Times New Roman"/>
          <w:color w:val="000000"/>
          <w:vertAlign w:val="subscript"/>
        </w:rPr>
        <w:t>Men</w:t>
      </w:r>
      <w:r w:rsidR="001B2448">
        <w:rPr>
          <w:rFonts w:eastAsia="Lucida Sans Unicode" w:cs="Tahoma"/>
        </w:rPr>
        <w:t xml:space="preserve"> </w:t>
      </w:r>
      <w:r w:rsidR="001B2448">
        <w:rPr>
          <w:rFonts w:eastAsia="Lucida Sans Unicode" w:cs="Times New Roman"/>
        </w:rPr>
        <w:t>−</w:t>
      </w:r>
      <w:r w:rsidR="001B2448">
        <w:rPr>
          <w:rFonts w:eastAsia="Lucida Sans Unicode" w:cs="Tahoma"/>
        </w:rPr>
        <w:t xml:space="preserve"> </w:t>
      </w:r>
      <w:r w:rsidR="001B2448">
        <w:rPr>
          <w:rFonts w:eastAsia="Lucida Sans Unicode" w:cs="Times New Roman"/>
        </w:rPr>
        <w:t>α</w:t>
      </w:r>
      <w:r w:rsidR="001B2448">
        <w:rPr>
          <w:rFonts w:eastAsia="Times New Roman" w:cs="Times New Roman"/>
          <w:color w:val="000000"/>
          <w:vertAlign w:val="subscript"/>
        </w:rPr>
        <w:t>Women</w:t>
      </w:r>
      <w:r w:rsidR="001B2448">
        <w:rPr>
          <w:rFonts w:eastAsia="Times New Roman" w:cs="Times New Roman"/>
          <w:kern w:val="0"/>
          <w:lang w:eastAsia="ja-JP" w:bidi="ar-SA"/>
        </w:rPr>
        <w:t xml:space="preserve">) </w:t>
      </w:r>
      <w:r w:rsidR="002D47A4">
        <w:rPr>
          <w:rFonts w:eastAsia="Times New Roman" w:cs="Times New Roman"/>
          <w:kern w:val="0"/>
          <w:lang w:eastAsia="ja-JP" w:bidi="ar-SA"/>
        </w:rPr>
        <w:t>of the</w:t>
      </w:r>
      <w:r w:rsidR="001B2448">
        <w:rPr>
          <w:rFonts w:eastAsia="Times New Roman" w:cs="Times New Roman"/>
          <w:kern w:val="0"/>
          <w:lang w:eastAsia="ja-JP" w:bidi="ar-SA"/>
        </w:rPr>
        <w:t xml:space="preserve"> expected BMR is estimated by</w:t>
      </w:r>
    </w:p>
    <w:p w14:paraId="228D02D6" w14:textId="77777777" w:rsidR="001B2448" w:rsidRDefault="001B2448" w:rsidP="001B2448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ja-JP" w:bidi="ar-SA"/>
        </w:rPr>
      </w:pPr>
    </w:p>
    <w:p w14:paraId="16B29D31" w14:textId="77777777" w:rsidR="001B2448" w:rsidRPr="001B2448" w:rsidRDefault="001B2448" w:rsidP="001B2448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ja-JP" w:bidi="ar-SA"/>
        </w:rPr>
      </w:pPr>
      <w:r w:rsidRPr="001B2448">
        <w:rPr>
          <w:rFonts w:eastAsia="Times New Roman" w:cs="Times New Roman"/>
          <w:kern w:val="0"/>
          <w:lang w:eastAsia="ja-JP" w:bidi="ar-SA"/>
        </w:rPr>
        <w:t xml:space="preserve">7.386 </w:t>
      </w:r>
      <w:r>
        <w:rPr>
          <w:rFonts w:eastAsia="Times New Roman" w:cs="Times New Roman"/>
          <w:kern w:val="0"/>
          <w:lang w:eastAsia="ja-JP" w:bidi="ar-SA"/>
        </w:rPr>
        <w:t>−</w:t>
      </w:r>
      <w:r w:rsidRPr="001B2448">
        <w:rPr>
          <w:rFonts w:eastAsia="Times New Roman" w:cs="Times New Roman"/>
          <w:kern w:val="0"/>
          <w:lang w:eastAsia="ja-JP" w:bidi="ar-SA"/>
        </w:rPr>
        <w:t xml:space="preserve"> 5.747 = 1.639</w:t>
      </w:r>
    </w:p>
    <w:p w14:paraId="5D452549" w14:textId="77777777" w:rsidR="001B2448" w:rsidRDefault="001B2448" w:rsidP="001B2448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ja-JP" w:bidi="ar-SA"/>
        </w:rPr>
      </w:pPr>
    </w:p>
    <w:p w14:paraId="280E0502" w14:textId="787F2AE0" w:rsidR="008C1A40" w:rsidRDefault="002D47A4" w:rsidP="008C1A4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ja-JP" w:bidi="ar-SA"/>
        </w:rPr>
      </w:pPr>
      <w:r>
        <w:rPr>
          <w:rFonts w:eastAsia="Times New Roman" w:cs="Times New Roman"/>
          <w:kern w:val="0"/>
          <w:lang w:eastAsia="ja-JP" w:bidi="ar-SA"/>
        </w:rPr>
        <w:t xml:space="preserve">The general procedure yields the </w:t>
      </w:r>
      <w:r w:rsidR="001B2448" w:rsidRPr="001B2448">
        <w:rPr>
          <w:rFonts w:eastAsia="Times New Roman" w:cs="Times New Roman"/>
          <w:kern w:val="0"/>
          <w:lang w:eastAsia="ja-JP" w:bidi="ar-SA"/>
        </w:rPr>
        <w:t>standard error</w:t>
      </w:r>
      <w:r w:rsidR="001B2448">
        <w:rPr>
          <w:rFonts w:eastAsia="Times New Roman" w:cs="Times New Roman"/>
          <w:kern w:val="0"/>
          <w:lang w:eastAsia="ja-JP" w:bidi="ar-SA"/>
        </w:rPr>
        <w:t xml:space="preserve"> </w:t>
      </w:r>
      <w:proofErr w:type="gramStart"/>
      <w:r w:rsidR="001B2448">
        <w:rPr>
          <w:rFonts w:eastAsia="Times New Roman" w:cs="Times New Roman"/>
          <w:kern w:val="0"/>
          <w:lang w:eastAsia="ja-JP" w:bidi="ar-SA"/>
        </w:rPr>
        <w:t>SE(</w:t>
      </w:r>
      <w:proofErr w:type="gramEnd"/>
      <w:r w:rsidR="001B2448">
        <w:rPr>
          <w:rFonts w:eastAsia="Lucida Sans Unicode" w:cs="Times New Roman"/>
        </w:rPr>
        <w:t>α</w:t>
      </w:r>
      <w:r w:rsidR="001B2448">
        <w:rPr>
          <w:rFonts w:eastAsia="Times New Roman" w:cs="Times New Roman"/>
          <w:color w:val="000000"/>
          <w:vertAlign w:val="subscript"/>
        </w:rPr>
        <w:t>Men</w:t>
      </w:r>
      <w:r w:rsidR="001B2448">
        <w:rPr>
          <w:rFonts w:eastAsia="Lucida Sans Unicode" w:cs="Tahoma"/>
        </w:rPr>
        <w:t xml:space="preserve"> </w:t>
      </w:r>
      <w:r w:rsidR="001B2448">
        <w:rPr>
          <w:rFonts w:eastAsia="Lucida Sans Unicode" w:cs="Times New Roman"/>
        </w:rPr>
        <w:t>−</w:t>
      </w:r>
      <w:r w:rsidR="001B2448">
        <w:rPr>
          <w:rFonts w:eastAsia="Lucida Sans Unicode" w:cs="Tahoma"/>
        </w:rPr>
        <w:t xml:space="preserve"> </w:t>
      </w:r>
      <w:r w:rsidR="001B2448">
        <w:rPr>
          <w:rFonts w:eastAsia="Lucida Sans Unicode" w:cs="Times New Roman"/>
        </w:rPr>
        <w:t>α</w:t>
      </w:r>
      <w:r w:rsidR="001B2448">
        <w:rPr>
          <w:rFonts w:eastAsia="Times New Roman" w:cs="Times New Roman"/>
          <w:color w:val="000000"/>
          <w:vertAlign w:val="subscript"/>
        </w:rPr>
        <w:t>Women</w:t>
      </w:r>
      <w:r w:rsidR="001B2448">
        <w:rPr>
          <w:rFonts w:eastAsia="Times New Roman" w:cs="Times New Roman"/>
          <w:kern w:val="0"/>
          <w:lang w:eastAsia="ja-JP" w:bidi="ar-SA"/>
        </w:rPr>
        <w:t>)</w:t>
      </w:r>
      <w:r>
        <w:rPr>
          <w:rFonts w:eastAsia="Times New Roman" w:cs="Times New Roman"/>
          <w:kern w:val="0"/>
          <w:lang w:eastAsia="ja-JP" w:bidi="ar-SA"/>
        </w:rPr>
        <w:t xml:space="preserve"> of</w:t>
      </w:r>
      <w:r w:rsidR="001B2448">
        <w:rPr>
          <w:rFonts w:eastAsia="Times New Roman" w:cs="Times New Roman"/>
          <w:kern w:val="0"/>
          <w:lang w:eastAsia="ja-JP" w:bidi="ar-SA"/>
        </w:rPr>
        <w:t xml:space="preserve"> </w:t>
      </w:r>
      <w:r w:rsidR="001B2448" w:rsidRPr="001B2448">
        <w:rPr>
          <w:rFonts w:eastAsia="Times New Roman" w:cs="Times New Roman"/>
          <w:kern w:val="0"/>
          <w:lang w:eastAsia="ja-JP" w:bidi="ar-SA"/>
        </w:rPr>
        <w:t>0.0265</w:t>
      </w:r>
      <w:r>
        <w:rPr>
          <w:rFonts w:eastAsia="Times New Roman" w:cs="Times New Roman"/>
          <w:kern w:val="0"/>
          <w:lang w:eastAsia="ja-JP" w:bidi="ar-SA"/>
        </w:rPr>
        <w:t>.</w:t>
      </w:r>
      <w:r w:rsidR="001B2448">
        <w:rPr>
          <w:rFonts w:eastAsia="Times New Roman" w:cs="Times New Roman"/>
          <w:kern w:val="0"/>
          <w:lang w:eastAsia="ja-JP" w:bidi="ar-SA"/>
        </w:rPr>
        <w:t xml:space="preserve"> The degrees of freedom </w:t>
      </w:r>
      <w:proofErr w:type="gramStart"/>
      <w:r w:rsidR="001B2448">
        <w:rPr>
          <w:rFonts w:eastAsia="Times New Roman" w:cs="Times New Roman"/>
          <w:kern w:val="0"/>
          <w:lang w:eastAsia="ja-JP" w:bidi="ar-SA"/>
        </w:rPr>
        <w:t>is</w:t>
      </w:r>
      <w:proofErr w:type="gramEnd"/>
      <w:r w:rsidR="001B2448">
        <w:rPr>
          <w:rFonts w:eastAsia="Times New Roman" w:cs="Times New Roman"/>
          <w:kern w:val="0"/>
          <w:lang w:eastAsia="ja-JP" w:bidi="ar-SA"/>
        </w:rPr>
        <w:t xml:space="preserve"> obtained as </w:t>
      </w:r>
      <w:r w:rsidR="000F3D9C" w:rsidRPr="001B2448">
        <w:rPr>
          <w:rFonts w:eastAsia="Times New Roman" w:cs="Times New Roman"/>
          <w:kern w:val="0"/>
          <w:lang w:eastAsia="ja-JP" w:bidi="ar-SA"/>
        </w:rPr>
        <w:t>1899.6</w:t>
      </w:r>
      <w:r w:rsidR="000F3D9C">
        <w:rPr>
          <w:rFonts w:eastAsia="Times New Roman" w:cs="Times New Roman"/>
          <w:kern w:val="0"/>
          <w:lang w:eastAsia="ja-JP" w:bidi="ar-SA"/>
        </w:rPr>
        <w:t>, and t</w:t>
      </w:r>
      <w:r w:rsidR="001B2448" w:rsidRPr="001B2448">
        <w:rPr>
          <w:rFonts w:eastAsia="Times New Roman" w:cs="Times New Roman"/>
          <w:kern w:val="0"/>
          <w:lang w:eastAsia="ja-JP" w:bidi="ar-SA"/>
        </w:rPr>
        <w:t>he 95% confidence interval</w:t>
      </w:r>
      <w:r>
        <w:rPr>
          <w:rFonts w:eastAsia="Times New Roman" w:cs="Times New Roman"/>
          <w:kern w:val="0"/>
          <w:lang w:eastAsia="ja-JP" w:bidi="ar-SA"/>
        </w:rPr>
        <w:t xml:space="preserve"> for </w:t>
      </w:r>
      <w:r w:rsidRPr="001B2448">
        <w:rPr>
          <w:rFonts w:eastAsia="Times New Roman" w:cs="Times New Roman"/>
          <w:kern w:val="0"/>
          <w:lang w:eastAsia="ja-JP" w:bidi="ar-SA"/>
        </w:rPr>
        <w:t>the difference</w:t>
      </w:r>
      <w:r w:rsidR="001B2448" w:rsidRPr="001B2448">
        <w:rPr>
          <w:rFonts w:eastAsia="Times New Roman" w:cs="Times New Roman"/>
          <w:kern w:val="0"/>
          <w:lang w:eastAsia="ja-JP" w:bidi="ar-SA"/>
        </w:rPr>
        <w:t xml:space="preserve"> becomes (</w:t>
      </w:r>
      <w:r w:rsidR="000F3D9C">
        <w:rPr>
          <w:rFonts w:eastAsia="Times New Roman" w:cs="Times New Roman"/>
          <w:kern w:val="0"/>
          <w:lang w:eastAsia="ja-JP" w:bidi="ar-SA"/>
        </w:rPr>
        <w:t>1.588</w:t>
      </w:r>
      <w:r w:rsidR="001B2448" w:rsidRPr="001B2448">
        <w:rPr>
          <w:rFonts w:eastAsia="Times New Roman" w:cs="Times New Roman"/>
          <w:kern w:val="0"/>
          <w:lang w:eastAsia="ja-JP" w:bidi="ar-SA"/>
        </w:rPr>
        <w:t>, 1.692).</w:t>
      </w:r>
      <w:r w:rsidR="008C1A40">
        <w:rPr>
          <w:rFonts w:eastAsia="Times New Roman" w:cs="Times New Roman"/>
          <w:kern w:val="0"/>
          <w:lang w:eastAsia="ja-JP" w:bidi="ar-SA"/>
        </w:rPr>
        <w:t xml:space="preserve"> The alternative hypothesis is H</w:t>
      </w:r>
      <w:r w:rsidR="008C1A40">
        <w:rPr>
          <w:rFonts w:eastAsia="Times New Roman" w:cs="Times New Roman"/>
          <w:kern w:val="0"/>
          <w:vertAlign w:val="subscript"/>
          <w:lang w:eastAsia="ja-JP" w:bidi="ar-SA"/>
        </w:rPr>
        <w:t>A</w:t>
      </w:r>
      <w:r w:rsidR="008C1A40">
        <w:rPr>
          <w:rFonts w:eastAsia="Times New Roman" w:cs="Times New Roman"/>
          <w:kern w:val="0"/>
          <w:lang w:eastAsia="ja-JP" w:bidi="ar-SA"/>
        </w:rPr>
        <w:t xml:space="preserve">: </w:t>
      </w:r>
      <w:r w:rsidR="008C1A40">
        <w:rPr>
          <w:rFonts w:eastAsia="Lucida Sans Unicode" w:cs="Times New Roman"/>
        </w:rPr>
        <w:t>α</w:t>
      </w:r>
      <w:r w:rsidR="008C1A40">
        <w:rPr>
          <w:rFonts w:eastAsia="Times New Roman" w:cs="Times New Roman"/>
          <w:color w:val="000000"/>
          <w:vertAlign w:val="subscript"/>
        </w:rPr>
        <w:t>Men</w:t>
      </w:r>
      <w:r w:rsidR="008C1A40">
        <w:rPr>
          <w:rFonts w:eastAsia="Lucida Sans Unicode" w:cs="Tahoma"/>
        </w:rPr>
        <w:t xml:space="preserve"> </w:t>
      </w:r>
      <w:r w:rsidR="008C1A40">
        <w:rPr>
          <w:rFonts w:eastAsia="Lucida Sans Unicode" w:cs="Times New Roman"/>
        </w:rPr>
        <w:t>≠</w:t>
      </w:r>
      <w:r w:rsidR="008C1A40">
        <w:rPr>
          <w:rFonts w:eastAsia="Lucida Sans Unicode" w:cs="Tahoma"/>
        </w:rPr>
        <w:t xml:space="preserve"> </w:t>
      </w:r>
      <w:r w:rsidR="008C1A40">
        <w:rPr>
          <w:rFonts w:eastAsia="Lucida Sans Unicode" w:cs="Times New Roman"/>
        </w:rPr>
        <w:t>α</w:t>
      </w:r>
      <w:r w:rsidR="008C1A40">
        <w:rPr>
          <w:rFonts w:eastAsia="Times New Roman" w:cs="Times New Roman"/>
          <w:color w:val="000000"/>
          <w:vertAlign w:val="subscript"/>
        </w:rPr>
        <w:t>Women</w:t>
      </w:r>
      <w:r w:rsidR="008C1A40">
        <w:rPr>
          <w:rFonts w:eastAsia="Times New Roman" w:cs="Times New Roman"/>
          <w:kern w:val="0"/>
          <w:lang w:eastAsia="ja-JP" w:bidi="ar-SA"/>
        </w:rPr>
        <w:t xml:space="preserve">, and test statistic is 61.941, which is highly unlikely. </w:t>
      </w:r>
      <w:r w:rsidR="00C43ED8">
        <w:rPr>
          <w:rFonts w:eastAsia="Times New Roman" w:cs="Times New Roman"/>
          <w:kern w:val="0"/>
          <w:lang w:eastAsia="ja-JP" w:bidi="ar-SA"/>
        </w:rPr>
        <w:t>We firmly reject the null hypothesis.</w:t>
      </w:r>
    </w:p>
    <w:p w14:paraId="7F2F2710" w14:textId="77777777" w:rsidR="00C43ED8" w:rsidRDefault="00C43ED8" w:rsidP="008C1A4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ja-JP" w:bidi="ar-SA"/>
        </w:rPr>
      </w:pPr>
    </w:p>
    <w:p w14:paraId="178E3705" w14:textId="68B191B1" w:rsidR="005E0B87" w:rsidRPr="008C1A40" w:rsidRDefault="00C43ED8" w:rsidP="008C1A4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ja-JP" w:bidi="ar-SA"/>
        </w:rPr>
      </w:pPr>
      <w:r>
        <w:rPr>
          <w:rFonts w:eastAsia="Times New Roman" w:cs="Times New Roman"/>
          <w:kern w:val="0"/>
          <w:lang w:eastAsia="ja-JP" w:bidi="ar-SA"/>
        </w:rPr>
        <w:t>W</w:t>
      </w:r>
      <w:r w:rsidR="000F3D9C">
        <w:rPr>
          <w:rFonts w:cs="Times New Roman"/>
        </w:rPr>
        <w:t>e</w:t>
      </w:r>
      <w:r>
        <w:rPr>
          <w:rFonts w:cs="Times New Roman"/>
        </w:rPr>
        <w:t xml:space="preserve"> instead</w:t>
      </w:r>
      <w:r w:rsidR="000F3D9C">
        <w:rPr>
          <w:rFonts w:cs="Times New Roman"/>
        </w:rPr>
        <w:t xml:space="preserve"> may ass</w:t>
      </w:r>
      <w:r w:rsidR="00E14547">
        <w:rPr>
          <w:rFonts w:cs="Times New Roman"/>
        </w:rPr>
        <w:t>ume that the variances</w:t>
      </w:r>
      <w:r w:rsidR="000F3D9C">
        <w:rPr>
          <w:rFonts w:cs="Times New Roman"/>
        </w:rPr>
        <w:t xml:space="preserve"> are the same for men and women. Then the</w:t>
      </w:r>
      <w:r w:rsidR="000F3D9C" w:rsidRPr="001B2448">
        <w:rPr>
          <w:rFonts w:eastAsia="Times New Roman" w:cs="Times New Roman"/>
          <w:kern w:val="0"/>
          <w:lang w:eastAsia="ja-JP" w:bidi="ar-SA"/>
        </w:rPr>
        <w:t xml:space="preserve"> corresponding standard error</w:t>
      </w:r>
      <w:r w:rsidR="000F3D9C">
        <w:rPr>
          <w:rFonts w:eastAsia="Times New Roman" w:cs="Times New Roman"/>
          <w:kern w:val="0"/>
          <w:lang w:eastAsia="ja-JP" w:bidi="ar-SA"/>
        </w:rPr>
        <w:t xml:space="preserve"> </w:t>
      </w:r>
      <w:proofErr w:type="gramStart"/>
      <w:r w:rsidR="000F3D9C">
        <w:rPr>
          <w:rFonts w:eastAsia="Times New Roman" w:cs="Times New Roman"/>
          <w:kern w:val="0"/>
          <w:lang w:eastAsia="ja-JP" w:bidi="ar-SA"/>
        </w:rPr>
        <w:t>SE(</w:t>
      </w:r>
      <w:proofErr w:type="gramEnd"/>
      <w:r w:rsidR="000F3D9C">
        <w:rPr>
          <w:rFonts w:eastAsia="Lucida Sans Unicode" w:cs="Times New Roman"/>
        </w:rPr>
        <w:t>α</w:t>
      </w:r>
      <w:r w:rsidR="000F3D9C">
        <w:rPr>
          <w:rFonts w:eastAsia="Times New Roman" w:cs="Times New Roman"/>
          <w:color w:val="000000"/>
          <w:vertAlign w:val="subscript"/>
        </w:rPr>
        <w:t>Men</w:t>
      </w:r>
      <w:r w:rsidR="000F3D9C">
        <w:rPr>
          <w:rFonts w:eastAsia="Lucida Sans Unicode" w:cs="Tahoma"/>
        </w:rPr>
        <w:t xml:space="preserve"> </w:t>
      </w:r>
      <w:r w:rsidR="000F3D9C">
        <w:rPr>
          <w:rFonts w:eastAsia="Lucida Sans Unicode" w:cs="Times New Roman"/>
        </w:rPr>
        <w:t>−</w:t>
      </w:r>
      <w:r w:rsidR="000F3D9C">
        <w:rPr>
          <w:rFonts w:eastAsia="Lucida Sans Unicode" w:cs="Tahoma"/>
        </w:rPr>
        <w:t xml:space="preserve"> </w:t>
      </w:r>
      <w:r w:rsidR="000F3D9C">
        <w:rPr>
          <w:rFonts w:eastAsia="Lucida Sans Unicode" w:cs="Times New Roman"/>
        </w:rPr>
        <w:t>α</w:t>
      </w:r>
      <w:r w:rsidR="000F3D9C">
        <w:rPr>
          <w:rFonts w:eastAsia="Times New Roman" w:cs="Times New Roman"/>
          <w:color w:val="000000"/>
          <w:vertAlign w:val="subscript"/>
        </w:rPr>
        <w:t>Women</w:t>
      </w:r>
      <w:r w:rsidR="000F3D9C">
        <w:rPr>
          <w:rFonts w:eastAsia="Times New Roman" w:cs="Times New Roman"/>
          <w:kern w:val="0"/>
          <w:lang w:eastAsia="ja-JP" w:bidi="ar-SA"/>
        </w:rPr>
        <w:t>)</w:t>
      </w:r>
      <w:r w:rsidR="002D47A4">
        <w:rPr>
          <w:rFonts w:eastAsia="Times New Roman" w:cs="Times New Roman"/>
          <w:kern w:val="0"/>
          <w:lang w:eastAsia="ja-JP" w:bidi="ar-SA"/>
        </w:rPr>
        <w:t xml:space="preserve"> is</w:t>
      </w:r>
      <w:r w:rsidR="000F3D9C">
        <w:rPr>
          <w:rFonts w:eastAsia="Times New Roman" w:cs="Times New Roman"/>
          <w:kern w:val="0"/>
          <w:lang w:eastAsia="ja-JP" w:bidi="ar-SA"/>
        </w:rPr>
        <w:t xml:space="preserve"> </w:t>
      </w:r>
      <w:r w:rsidR="000611DF">
        <w:rPr>
          <w:rFonts w:eastAsia="Times New Roman" w:cs="Times New Roman"/>
          <w:kern w:val="0"/>
          <w:lang w:eastAsia="ja-JP" w:bidi="ar-SA"/>
        </w:rPr>
        <w:t>0.0262</w:t>
      </w:r>
      <w:r w:rsidR="000F3D9C">
        <w:rPr>
          <w:rFonts w:eastAsia="Times New Roman" w:cs="Times New Roman"/>
          <w:kern w:val="0"/>
          <w:lang w:eastAsia="ja-JP" w:bidi="ar-SA"/>
        </w:rPr>
        <w:t>. The de</w:t>
      </w:r>
      <w:r w:rsidR="001C03A3">
        <w:rPr>
          <w:rFonts w:eastAsia="Times New Roman" w:cs="Times New Roman"/>
          <w:kern w:val="0"/>
          <w:lang w:eastAsia="ja-JP" w:bidi="ar-SA"/>
        </w:rPr>
        <w:t xml:space="preserve">grees of freedom </w:t>
      </w:r>
      <w:proofErr w:type="gramStart"/>
      <w:r w:rsidR="001C03A3">
        <w:rPr>
          <w:rFonts w:eastAsia="Times New Roman" w:cs="Times New Roman"/>
          <w:kern w:val="0"/>
          <w:lang w:eastAsia="ja-JP" w:bidi="ar-SA"/>
        </w:rPr>
        <w:t>is</w:t>
      </w:r>
      <w:proofErr w:type="gramEnd"/>
      <w:r w:rsidR="001C03A3">
        <w:rPr>
          <w:rFonts w:eastAsia="Times New Roman" w:cs="Times New Roman"/>
          <w:kern w:val="0"/>
          <w:lang w:eastAsia="ja-JP" w:bidi="ar-SA"/>
        </w:rPr>
        <w:t xml:space="preserve"> obtained as 2222</w:t>
      </w:r>
      <w:r w:rsidR="000F3D9C">
        <w:rPr>
          <w:rFonts w:eastAsia="Times New Roman" w:cs="Times New Roman"/>
          <w:kern w:val="0"/>
          <w:lang w:eastAsia="ja-JP" w:bidi="ar-SA"/>
        </w:rPr>
        <w:t>, and t</w:t>
      </w:r>
      <w:r w:rsidR="000F3D9C" w:rsidRPr="001B2448">
        <w:rPr>
          <w:rFonts w:eastAsia="Times New Roman" w:cs="Times New Roman"/>
          <w:kern w:val="0"/>
          <w:lang w:eastAsia="ja-JP" w:bidi="ar-SA"/>
        </w:rPr>
        <w:t>he 95% confidence interval becomes (</w:t>
      </w:r>
      <w:r w:rsidR="001C03A3">
        <w:rPr>
          <w:rFonts w:eastAsia="Times New Roman" w:cs="Times New Roman"/>
          <w:kern w:val="0"/>
          <w:lang w:eastAsia="ja-JP" w:bidi="ar-SA"/>
        </w:rPr>
        <w:t>1.589, 1.691</w:t>
      </w:r>
      <w:r w:rsidR="000F3D9C" w:rsidRPr="001B2448">
        <w:rPr>
          <w:rFonts w:eastAsia="Times New Roman" w:cs="Times New Roman"/>
          <w:kern w:val="0"/>
          <w:lang w:eastAsia="ja-JP" w:bidi="ar-SA"/>
        </w:rPr>
        <w:t>).</w:t>
      </w:r>
      <w:r w:rsidR="001C03A3">
        <w:rPr>
          <w:rFonts w:eastAsia="Times New Roman" w:cs="Times New Roman"/>
          <w:kern w:val="0"/>
          <w:lang w:eastAsia="ja-JP" w:bidi="ar-SA"/>
        </w:rPr>
        <w:t xml:space="preserve"> D</w:t>
      </w:r>
      <w:r w:rsidR="001C03A3" w:rsidRPr="001B2448">
        <w:rPr>
          <w:rFonts w:eastAsia="Times New Roman" w:cs="Times New Roman"/>
          <w:kern w:val="0"/>
          <w:lang w:eastAsia="ja-JP" w:bidi="ar-SA"/>
        </w:rPr>
        <w:t>ue to the</w:t>
      </w:r>
      <w:r w:rsidR="001C03A3">
        <w:rPr>
          <w:rFonts w:eastAsia="Times New Roman" w:cs="Times New Roman"/>
          <w:kern w:val="0"/>
          <w:lang w:eastAsia="ja-JP" w:bidi="ar-SA"/>
        </w:rPr>
        <w:t xml:space="preserve"> additional assumption, the expected difference is </w:t>
      </w:r>
      <w:r w:rsidR="002D47A4">
        <w:rPr>
          <w:rFonts w:eastAsia="Times New Roman" w:cs="Times New Roman"/>
          <w:kern w:val="0"/>
          <w:lang w:eastAsia="ja-JP" w:bidi="ar-SA"/>
        </w:rPr>
        <w:t xml:space="preserve">estimated with </w:t>
      </w:r>
      <w:r w:rsidR="006760D6">
        <w:rPr>
          <w:rFonts w:eastAsia="Times New Roman" w:cs="Times New Roman"/>
          <w:kern w:val="0"/>
          <w:lang w:eastAsia="ja-JP" w:bidi="ar-SA"/>
        </w:rPr>
        <w:t>slightly</w:t>
      </w:r>
      <w:r w:rsidR="002D47A4">
        <w:rPr>
          <w:rFonts w:eastAsia="Times New Roman" w:cs="Times New Roman"/>
          <w:kern w:val="0"/>
          <w:lang w:eastAsia="ja-JP" w:bidi="ar-SA"/>
        </w:rPr>
        <w:t xml:space="preserve"> higher</w:t>
      </w:r>
      <w:r w:rsidR="001C03A3">
        <w:rPr>
          <w:rFonts w:eastAsia="Times New Roman" w:cs="Times New Roman"/>
          <w:kern w:val="0"/>
          <w:lang w:eastAsia="ja-JP" w:bidi="ar-SA"/>
        </w:rPr>
        <w:t xml:space="preserve"> precision.</w:t>
      </w:r>
    </w:p>
    <w:p w14:paraId="45E1666D" w14:textId="77777777" w:rsidR="00820E82" w:rsidRDefault="00820E82">
      <w:pPr>
        <w:tabs>
          <w:tab w:val="left" w:pos="1080"/>
        </w:tabs>
      </w:pPr>
    </w:p>
    <w:p w14:paraId="7323327F" w14:textId="31E133D7" w:rsidR="001C03A3" w:rsidRPr="00C43ED8" w:rsidRDefault="00820E82" w:rsidP="00E14547">
      <w:pPr>
        <w:widowControl/>
        <w:suppressAutoHyphens w:val="0"/>
        <w:autoSpaceDE w:val="0"/>
        <w:autoSpaceDN w:val="0"/>
        <w:adjustRightInd w:val="0"/>
        <w:rPr>
          <w:rFonts w:cs="Tahoma"/>
          <w:kern w:val="24"/>
          <w:vertAlign w:val="superscript"/>
        </w:rPr>
      </w:pPr>
      <w:r>
        <w:rPr>
          <w:rFonts w:cs="Tahoma"/>
          <w:b/>
        </w:rPr>
        <w:t xml:space="preserve">Conclusion. </w:t>
      </w:r>
      <w:r w:rsidR="00E14547">
        <w:rPr>
          <w:rFonts w:cs="Tahoma"/>
          <w:b/>
        </w:rPr>
        <w:t xml:space="preserve"> </w:t>
      </w:r>
      <w:r w:rsidR="008C1A40">
        <w:rPr>
          <w:rFonts w:cs="Tahoma"/>
        </w:rPr>
        <w:t>Regardless of the additional assumption</w:t>
      </w:r>
      <w:r w:rsidR="00C43ED8">
        <w:rPr>
          <w:rFonts w:cs="Tahoma"/>
        </w:rPr>
        <w:t xml:space="preserve"> the p-value </w:t>
      </w:r>
      <w:proofErr w:type="gramStart"/>
      <w:r w:rsidR="00C43ED8">
        <w:rPr>
          <w:rFonts w:cs="Tahoma"/>
        </w:rPr>
        <w:t>( &lt;</w:t>
      </w:r>
      <w:proofErr w:type="gramEnd"/>
      <w:r w:rsidR="00C43ED8">
        <w:rPr>
          <w:rFonts w:cs="Tahoma"/>
        </w:rPr>
        <w:t xml:space="preserve"> 2.2</w:t>
      </w:r>
      <w:r w:rsidR="00C43ED8">
        <w:rPr>
          <w:rFonts w:cs="Times New Roman"/>
        </w:rPr>
        <w:t>×</w:t>
      </w:r>
      <w:r w:rsidR="00C43ED8">
        <w:rPr>
          <w:rFonts w:cs="Tahoma"/>
        </w:rPr>
        <w:t>10</w:t>
      </w:r>
      <w:r w:rsidR="00C43ED8">
        <w:rPr>
          <w:rFonts w:cs="Tahoma"/>
          <w:kern w:val="24"/>
          <w:vertAlign w:val="superscript"/>
        </w:rPr>
        <w:t xml:space="preserve">-16 </w:t>
      </w:r>
      <w:r w:rsidR="00C43ED8">
        <w:rPr>
          <w:rFonts w:eastAsia="Times New Roman"/>
        </w:rPr>
        <w:t>) is extremely small, and therefore, the result is highly significant.</w:t>
      </w:r>
      <w:r w:rsidR="00C43ED8">
        <w:rPr>
          <w:rFonts w:cs="Tahoma"/>
          <w:kern w:val="24"/>
          <w:vertAlign w:val="superscript"/>
        </w:rPr>
        <w:t xml:space="preserve"> </w:t>
      </w:r>
      <w:r w:rsidR="00FA5235" w:rsidRPr="00E14547">
        <w:rPr>
          <w:rFonts w:eastAsia="Times New Roman"/>
        </w:rPr>
        <w:t xml:space="preserve">If we do not assume that the variances are equal for two groups, the corresponding method (general procedure) produces a slightly wider confidence interval. In general, </w:t>
      </w:r>
      <w:r w:rsidR="00EC6437">
        <w:rPr>
          <w:rFonts w:eastAsia="Times New Roman"/>
        </w:rPr>
        <w:t>the least</w:t>
      </w:r>
      <w:r w:rsidR="00FA5235" w:rsidRPr="00E14547">
        <w:rPr>
          <w:rFonts w:eastAsia="Times New Roman"/>
        </w:rPr>
        <w:t xml:space="preserve"> accura</w:t>
      </w:r>
      <w:r w:rsidR="00EC6437">
        <w:rPr>
          <w:rFonts w:eastAsia="Times New Roman"/>
        </w:rPr>
        <w:t>te result</w:t>
      </w:r>
      <w:r w:rsidR="00FA5235" w:rsidRPr="00E14547">
        <w:rPr>
          <w:rFonts w:eastAsia="Times New Roman"/>
        </w:rPr>
        <w:t xml:space="preserve"> is viewed as</w:t>
      </w:r>
      <w:r w:rsidR="00E14547" w:rsidRPr="00E14547">
        <w:rPr>
          <w:rFonts w:eastAsia="Times New Roman"/>
        </w:rPr>
        <w:t xml:space="preserve"> a</w:t>
      </w:r>
      <w:r w:rsidR="00FA5235" w:rsidRPr="00E14547">
        <w:rPr>
          <w:rFonts w:eastAsia="Times New Roman"/>
        </w:rPr>
        <w:t xml:space="preserve"> conservative</w:t>
      </w:r>
      <w:r w:rsidR="00E14547" w:rsidRPr="00E14547">
        <w:rPr>
          <w:rFonts w:eastAsia="Times New Roman"/>
        </w:rPr>
        <w:t xml:space="preserve"> </w:t>
      </w:r>
      <w:r w:rsidR="00EC6437">
        <w:rPr>
          <w:rFonts w:eastAsia="Times New Roman"/>
        </w:rPr>
        <w:t>choice</w:t>
      </w:r>
      <w:r w:rsidR="00FA5235" w:rsidRPr="00E14547">
        <w:rPr>
          <w:rFonts w:eastAsia="Times New Roman"/>
        </w:rPr>
        <w:t>.</w:t>
      </w:r>
      <w:r w:rsidR="00E14547" w:rsidRPr="00E14547">
        <w:rPr>
          <w:rFonts w:eastAsia="Times New Roman"/>
        </w:rPr>
        <w:t xml:space="preserve"> Thus, the confidence interval </w:t>
      </w:r>
      <w:r w:rsidR="00E14547" w:rsidRPr="00E14547">
        <w:rPr>
          <w:rFonts w:eastAsia="Times New Roman" w:cs="Times New Roman"/>
          <w:kern w:val="0"/>
          <w:lang w:eastAsia="ja-JP" w:bidi="ar-SA"/>
        </w:rPr>
        <w:lastRenderedPageBreak/>
        <w:t>(1.588, 1.692) is the conservative result.</w:t>
      </w:r>
      <w:r w:rsidR="00E14547" w:rsidRPr="00E14547">
        <w:t xml:space="preserve"> In either case, </w:t>
      </w:r>
      <w:r w:rsidR="00E14547" w:rsidRPr="00E14547">
        <w:rPr>
          <w:rFonts w:cs="Times New Roman"/>
        </w:rPr>
        <w:t>t</w:t>
      </w:r>
      <w:r w:rsidRPr="00E14547">
        <w:rPr>
          <w:rFonts w:cs="Times New Roman"/>
        </w:rPr>
        <w:t>he confidence interv</w:t>
      </w:r>
      <w:r w:rsidR="001C03A3" w:rsidRPr="00E14547">
        <w:rPr>
          <w:rFonts w:cs="Times New Roman"/>
        </w:rPr>
        <w:t>al indicates that there is significant difference of mean BMR values between men and women</w:t>
      </w:r>
      <w:r w:rsidRPr="00E14547">
        <w:rPr>
          <w:rFonts w:eastAsia="Lucida Sans Unicode" w:cs="Times New Roman"/>
        </w:rPr>
        <w:t>.</w:t>
      </w:r>
      <w:r w:rsidR="001C03A3" w:rsidRPr="00E14547">
        <w:rPr>
          <w:rFonts w:eastAsia="Lucida Sans Unicode" w:cs="Times New Roman"/>
        </w:rPr>
        <w:t xml:space="preserve"> </w:t>
      </w:r>
      <w:r w:rsidR="001C03A3" w:rsidRPr="00E14547">
        <w:rPr>
          <w:rFonts w:eastAsia="Times New Roman" w:cs="Times New Roman"/>
          <w:kern w:val="0"/>
          <w:lang w:eastAsia="ja-JP" w:bidi="ar-SA"/>
        </w:rPr>
        <w:t>In part</w:t>
      </w:r>
      <w:r w:rsidR="00FA5235" w:rsidRPr="00E14547">
        <w:rPr>
          <w:rFonts w:eastAsia="Times New Roman" w:cs="Times New Roman"/>
          <w:kern w:val="0"/>
          <w:lang w:eastAsia="ja-JP" w:bidi="ar-SA"/>
        </w:rPr>
        <w:t xml:space="preserve">icular, we see that </w:t>
      </w:r>
      <w:r w:rsidR="001C03A3" w:rsidRPr="00E14547">
        <w:rPr>
          <w:rFonts w:eastAsia="Times New Roman" w:cs="Times New Roman"/>
          <w:kern w:val="0"/>
          <w:lang w:eastAsia="ja-JP" w:bidi="ar-SA"/>
        </w:rPr>
        <w:t>the confidence interval</w:t>
      </w:r>
      <w:r w:rsidR="00FA5235" w:rsidRPr="00E14547">
        <w:rPr>
          <w:rFonts w:eastAsia="Times New Roman" w:cs="Times New Roman"/>
          <w:kern w:val="0"/>
          <w:lang w:eastAsia="ja-JP" w:bidi="ar-SA"/>
        </w:rPr>
        <w:t xml:space="preserve"> lies in positive values.</w:t>
      </w:r>
      <w:r w:rsidR="001C03A3" w:rsidRPr="00E14547">
        <w:rPr>
          <w:rFonts w:eastAsia="Times New Roman" w:cs="Times New Roman"/>
          <w:kern w:val="0"/>
          <w:lang w:eastAsia="ja-JP" w:bidi="ar-SA"/>
        </w:rPr>
        <w:t xml:space="preserve"> In other words, men ha</w:t>
      </w:r>
      <w:r w:rsidR="00ED26AE">
        <w:rPr>
          <w:rFonts w:eastAsia="Times New Roman" w:cs="Times New Roman"/>
          <w:kern w:val="0"/>
          <w:lang w:eastAsia="ja-JP" w:bidi="ar-SA"/>
        </w:rPr>
        <w:t>ve</w:t>
      </w:r>
      <w:r w:rsidR="001C03A3" w:rsidRPr="00E14547">
        <w:rPr>
          <w:rFonts w:eastAsia="Times New Roman" w:cs="Times New Roman"/>
          <w:kern w:val="0"/>
          <w:lang w:eastAsia="ja-JP" w:bidi="ar-SA"/>
        </w:rPr>
        <w:t xml:space="preserve"> a </w:t>
      </w:r>
      <w:r w:rsidR="00FA5235" w:rsidRPr="00E14547">
        <w:rPr>
          <w:rFonts w:eastAsia="Times New Roman" w:cs="Times New Roman"/>
          <w:kern w:val="0"/>
          <w:lang w:eastAsia="ja-JP" w:bidi="ar-SA"/>
        </w:rPr>
        <w:t>higher BMR than women.</w:t>
      </w:r>
    </w:p>
    <w:p w14:paraId="2855163E" w14:textId="77777777" w:rsidR="001C03A3" w:rsidRPr="001C03A3" w:rsidRDefault="001C03A3" w:rsidP="001C03A3">
      <w:pPr>
        <w:tabs>
          <w:tab w:val="left" w:pos="1080"/>
        </w:tabs>
        <w:rPr>
          <w:rFonts w:eastAsia="Times New Roman" w:cs="Times New Roman"/>
          <w:kern w:val="0"/>
          <w:lang w:eastAsia="ja-JP" w:bidi="ar-SA"/>
        </w:rPr>
      </w:pPr>
    </w:p>
    <w:p w14:paraId="634315C6" w14:textId="77777777" w:rsidR="001C03A3" w:rsidRDefault="001C03A3" w:rsidP="001C03A3">
      <w:pPr>
        <w:tabs>
          <w:tab w:val="left" w:pos="1080"/>
        </w:tabs>
        <w:rPr>
          <w:rFonts w:cs="Times New Roman"/>
        </w:rPr>
      </w:pPr>
    </w:p>
    <w:p w14:paraId="1FA73130" w14:textId="77777777" w:rsidR="00E14547" w:rsidRDefault="00E14547" w:rsidP="001C03A3">
      <w:pPr>
        <w:tabs>
          <w:tab w:val="left" w:pos="1080"/>
        </w:tabs>
        <w:rPr>
          <w:rFonts w:cs="Times New Roman"/>
        </w:rPr>
      </w:pPr>
    </w:p>
    <w:p w14:paraId="6C16B342" w14:textId="77777777" w:rsidR="00E14547" w:rsidRPr="001C03A3" w:rsidRDefault="00E14547" w:rsidP="001C03A3">
      <w:pPr>
        <w:tabs>
          <w:tab w:val="left" w:pos="1080"/>
        </w:tabs>
        <w:rPr>
          <w:rFonts w:cs="Times New Roman"/>
        </w:rPr>
      </w:pPr>
    </w:p>
    <w:sectPr w:rsidR="00E14547" w:rsidRPr="001C03A3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C8"/>
    <w:rsid w:val="00001BC8"/>
    <w:rsid w:val="000611DF"/>
    <w:rsid w:val="00093CB9"/>
    <w:rsid w:val="000949A8"/>
    <w:rsid w:val="000F2DFB"/>
    <w:rsid w:val="000F3D9C"/>
    <w:rsid w:val="00124905"/>
    <w:rsid w:val="001B2448"/>
    <w:rsid w:val="001C03A3"/>
    <w:rsid w:val="00284A46"/>
    <w:rsid w:val="002C21CB"/>
    <w:rsid w:val="002D47A4"/>
    <w:rsid w:val="003475D0"/>
    <w:rsid w:val="003D66ED"/>
    <w:rsid w:val="004849EE"/>
    <w:rsid w:val="004A789B"/>
    <w:rsid w:val="004F66E6"/>
    <w:rsid w:val="005E0B87"/>
    <w:rsid w:val="006760D6"/>
    <w:rsid w:val="00820E82"/>
    <w:rsid w:val="00877937"/>
    <w:rsid w:val="008C1A40"/>
    <w:rsid w:val="008E3EDF"/>
    <w:rsid w:val="00902A8E"/>
    <w:rsid w:val="00A12CA9"/>
    <w:rsid w:val="00C43ED8"/>
    <w:rsid w:val="00CC57F0"/>
    <w:rsid w:val="00E14547"/>
    <w:rsid w:val="00E467DE"/>
    <w:rsid w:val="00EC6437"/>
    <w:rsid w:val="00ED26AE"/>
    <w:rsid w:val="00ED6EA5"/>
    <w:rsid w:val="00FA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CE2437"/>
  <w15:chartTrackingRefBased/>
  <w15:docId w15:val="{B6906650-9ECD-491D-8333-EFCBDC9D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Tech University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Motoya Machida</dc:creator>
  <cp:keywords/>
  <cp:lastModifiedBy>Machida, Motoya</cp:lastModifiedBy>
  <cp:revision>7</cp:revision>
  <cp:lastPrinted>1900-01-01T06:00:00Z</cp:lastPrinted>
  <dcterms:created xsi:type="dcterms:W3CDTF">2021-10-20T21:55:00Z</dcterms:created>
  <dcterms:modified xsi:type="dcterms:W3CDTF">2024-11-07T20:09:00Z</dcterms:modified>
</cp:coreProperties>
</file>